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7BB0D" w14:textId="77777777" w:rsidR="000B4DCF" w:rsidRPr="000B4DCF" w:rsidRDefault="000B4DCF" w:rsidP="000B4DCF">
      <w:pPr>
        <w:spacing w:line="480" w:lineRule="auto"/>
        <w:divId w:val="1966427447"/>
        <w:rPr>
          <w:rFonts w:ascii="Times New Roman" w:eastAsia="Arial" w:hAnsi="Times New Roman" w:cs="Times New Roman"/>
          <w:b/>
          <w:lang w:val="en-GB"/>
        </w:rPr>
      </w:pPr>
    </w:p>
    <w:p w14:paraId="7B72CBB4" w14:textId="77777777" w:rsidR="000B4DCF" w:rsidRPr="000B4DCF" w:rsidRDefault="000B4DCF" w:rsidP="000B4DCF">
      <w:pPr>
        <w:spacing w:after="10" w:line="480" w:lineRule="auto"/>
        <w:ind w:right="50"/>
        <w:jc w:val="both"/>
        <w:divId w:val="1966427447"/>
        <w:rPr>
          <w:rFonts w:ascii="Times New Roman" w:hAnsi="Times New Roman" w:cs="Times New Roman"/>
          <w:i/>
          <w:iCs/>
          <w:lang w:val="en-GB"/>
        </w:rPr>
      </w:pPr>
      <w:r w:rsidRPr="000B4DCF">
        <w:rPr>
          <w:rFonts w:ascii="Times New Roman" w:eastAsia="Arial" w:hAnsi="Times New Roman" w:cs="Times New Roman"/>
          <w:b/>
          <w:i/>
          <w:iCs/>
          <w:lang w:val="en-GB"/>
        </w:rPr>
        <w:t xml:space="preserve">“The benefit of repairing the deltoid ligament in unstable ankle fractures: </w:t>
      </w:r>
      <w:r w:rsidRPr="000B4DCF">
        <w:rPr>
          <w:rFonts w:ascii="Times New Roman" w:eastAsia="Arial" w:hAnsi="Times New Roman" w:cs="Times New Roman"/>
          <w:b/>
          <w:i/>
          <w:iCs/>
          <w:lang w:val="en-GB"/>
        </w:rPr>
        <w:br/>
      </w:r>
      <w:r w:rsidRPr="000B4DCF">
        <w:rPr>
          <w:rFonts w:ascii="Times New Roman" w:hAnsi="Times New Roman" w:cs="Times New Roman"/>
          <w:i/>
          <w:iCs/>
          <w:lang w:val="en-GB"/>
        </w:rPr>
        <w:t>Patient-reported functional outcome and radiological stability measurements.”</w:t>
      </w:r>
    </w:p>
    <w:p w14:paraId="7DFDABA0" w14:textId="77777777" w:rsidR="000B4DCF" w:rsidRPr="000B4DCF" w:rsidRDefault="000B4DCF" w:rsidP="000B4DCF">
      <w:pPr>
        <w:spacing w:line="480" w:lineRule="auto"/>
        <w:divId w:val="1966427447"/>
        <w:rPr>
          <w:rFonts w:ascii="Times New Roman" w:hAnsi="Times New Roman" w:cs="Times New Roman"/>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AE276B" w14:textId="77777777" w:rsidR="000B4DCF" w:rsidRPr="000B4DCF" w:rsidRDefault="000B4DCF" w:rsidP="000B4DCF">
      <w:pPr>
        <w:spacing w:line="480" w:lineRule="auto"/>
        <w:divId w:val="1966427447"/>
        <w:rPr>
          <w:rFonts w:ascii="Times New Roman" w:hAnsi="Times New Roman" w:cs="Times New Roman"/>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2AE4F3" w14:textId="77777777" w:rsidR="000B4DCF" w:rsidRPr="000B4DCF" w:rsidRDefault="000B4DCF" w:rsidP="000B4DCF">
      <w:pPr>
        <w:spacing w:line="480" w:lineRule="auto"/>
        <w:divId w:val="1966427447"/>
        <w:rPr>
          <w:rFonts w:ascii="Times New Roman" w:hAnsi="Times New Roman" w:cs="Times New Roman"/>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9E1724" w14:textId="77777777" w:rsidR="000B4DCF" w:rsidRPr="000B4DCF" w:rsidRDefault="000B4DCF" w:rsidP="000B4DCF">
      <w:pPr>
        <w:spacing w:line="480" w:lineRule="auto"/>
        <w:divId w:val="1966427447"/>
        <w:rPr>
          <w:rFonts w:ascii="Times New Roman" w:hAnsi="Times New Roman" w:cs="Times New Roman"/>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4DCF">
        <w:rPr>
          <w:rFonts w:ascii="Times New Roman" w:hAnsi="Times New Roman" w:cs="Times New Roman"/>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NCT# </w:t>
      </w:r>
      <w:r w:rsidRPr="000B4DCF">
        <w:rPr>
          <w:rFonts w:ascii="Times New Roman" w:eastAsia="Times New Roman" w:hAnsi="Times New Roman" w:cs="Times New Roman"/>
          <w:color w:val="000000"/>
          <w:lang w:val="en-GB" w:eastAsia="nb-NO"/>
        </w:rPr>
        <w:t>06568276</w:t>
      </w:r>
    </w:p>
    <w:p w14:paraId="2AEAAA41" w14:textId="77777777" w:rsidR="000B4DCF" w:rsidRPr="000B4DCF" w:rsidRDefault="000B4DCF" w:rsidP="000B4DCF">
      <w:pPr>
        <w:spacing w:line="480" w:lineRule="auto"/>
        <w:divId w:val="1966427447"/>
        <w:rPr>
          <w:rFonts w:ascii="Times New Roman" w:hAnsi="Times New Roman" w:cs="Times New Roman"/>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9241EE" w14:textId="77777777" w:rsidR="000B4DCF" w:rsidRPr="000B4DCF" w:rsidRDefault="000B4DCF" w:rsidP="000B4DCF">
      <w:pPr>
        <w:spacing w:line="480" w:lineRule="auto"/>
        <w:divId w:val="1966427447"/>
        <w:rPr>
          <w:rFonts w:ascii="Times New Roman" w:eastAsia="Arial" w:hAnsi="Times New Roman" w:cs="Times New Roman"/>
          <w:lang w:val="en-GB"/>
        </w:rPr>
      </w:pPr>
    </w:p>
    <w:p w14:paraId="10F7F16D" w14:textId="77777777" w:rsidR="000B4DCF" w:rsidRPr="000B4DCF" w:rsidRDefault="000B4DCF" w:rsidP="000B4DCF">
      <w:pPr>
        <w:spacing w:line="480" w:lineRule="auto"/>
        <w:divId w:val="1966427447"/>
        <w:rPr>
          <w:rFonts w:ascii="Times New Roman" w:eastAsia="Arial" w:hAnsi="Times New Roman" w:cs="Times New Roman"/>
          <w:lang w:val="en-GB"/>
        </w:rPr>
      </w:pPr>
      <w:r w:rsidRPr="000B4DCF">
        <w:rPr>
          <w:rFonts w:ascii="Times New Roman" w:eastAsia="Arial" w:hAnsi="Times New Roman" w:cs="Times New Roman"/>
          <w:lang w:val="en-GB"/>
        </w:rPr>
        <w:t>Approved by the Regional Committee for Medical and Health Research Ethics (REK Sør-øst) 23</w:t>
      </w:r>
      <w:r w:rsidRPr="000B4DCF">
        <w:rPr>
          <w:rFonts w:ascii="Times New Roman" w:eastAsia="Arial" w:hAnsi="Times New Roman" w:cs="Times New Roman"/>
          <w:vertAlign w:val="superscript"/>
          <w:lang w:val="en-GB"/>
        </w:rPr>
        <w:t>rd</w:t>
      </w:r>
      <w:r w:rsidRPr="000B4DCF">
        <w:rPr>
          <w:rFonts w:ascii="Times New Roman" w:eastAsia="Arial" w:hAnsi="Times New Roman" w:cs="Times New Roman"/>
          <w:lang w:val="en-GB"/>
        </w:rPr>
        <w:t xml:space="preserve"> of January 2025 after extended number of including hospitals. </w:t>
      </w:r>
      <w:r w:rsidRPr="000B4DCF">
        <w:rPr>
          <w:rFonts w:ascii="Times New Roman" w:eastAsia="Arial" w:hAnsi="Times New Roman" w:cs="Times New Roman"/>
          <w:lang w:val="en-GB"/>
        </w:rPr>
        <w:br/>
      </w:r>
      <w:r w:rsidRPr="000B4DCF">
        <w:rPr>
          <w:rFonts w:ascii="Times New Roman" w:eastAsia="Arial" w:hAnsi="Times New Roman" w:cs="Times New Roman"/>
          <w:lang w:val="en-GB"/>
        </w:rPr>
        <w:br/>
      </w:r>
    </w:p>
    <w:p w14:paraId="12F58B49" w14:textId="77777777" w:rsidR="000B4DCF" w:rsidRPr="000B4DCF" w:rsidRDefault="000B4DCF" w:rsidP="000B4DCF">
      <w:pPr>
        <w:spacing w:line="480" w:lineRule="auto"/>
        <w:divId w:val="1966427447"/>
        <w:rPr>
          <w:rFonts w:ascii="Times New Roman" w:eastAsia="Arial" w:hAnsi="Times New Roman" w:cs="Times New Roman"/>
          <w:lang w:val="en-GB"/>
        </w:rPr>
      </w:pPr>
      <w:r w:rsidRPr="000B4DCF">
        <w:rPr>
          <w:rFonts w:ascii="Times New Roman" w:eastAsia="Arial" w:hAnsi="Times New Roman" w:cs="Times New Roman"/>
          <w:lang w:val="en-GB"/>
        </w:rPr>
        <w:br w:type="page"/>
      </w:r>
    </w:p>
    <w:p w14:paraId="70ED3B32" w14:textId="77777777" w:rsidR="000B4DCF" w:rsidRPr="000B4DCF" w:rsidRDefault="000B4DCF" w:rsidP="000B4DCF">
      <w:pPr>
        <w:spacing w:after="10" w:line="480" w:lineRule="auto"/>
        <w:ind w:right="50"/>
        <w:jc w:val="both"/>
        <w:divId w:val="1966427447"/>
        <w:rPr>
          <w:rFonts w:ascii="Times New Roman" w:eastAsia="Arial" w:hAnsi="Times New Roman" w:cs="Times New Roman"/>
          <w:b/>
          <w:lang w:val="en-GB"/>
        </w:rPr>
      </w:pPr>
      <w:r w:rsidRPr="000B4DCF">
        <w:rPr>
          <w:rFonts w:ascii="Times New Roman" w:eastAsia="Arial" w:hAnsi="Times New Roman" w:cs="Times New Roman"/>
          <w:b/>
          <w:lang w:val="en-GB"/>
        </w:rPr>
        <w:lastRenderedPageBreak/>
        <w:t xml:space="preserve">Project Title: </w:t>
      </w:r>
    </w:p>
    <w:p w14:paraId="5804D889" w14:textId="77777777" w:rsidR="000B4DCF" w:rsidRPr="000B4DCF" w:rsidRDefault="000B4DCF" w:rsidP="000B4DCF">
      <w:pPr>
        <w:spacing w:after="10" w:line="480" w:lineRule="auto"/>
        <w:ind w:right="50"/>
        <w:jc w:val="both"/>
        <w:divId w:val="1966427447"/>
        <w:rPr>
          <w:rFonts w:ascii="Times New Roman" w:eastAsia="Arial" w:hAnsi="Times New Roman" w:cs="Times New Roman"/>
          <w:b/>
          <w:lang w:val="en-GB"/>
        </w:rPr>
      </w:pPr>
    </w:p>
    <w:p w14:paraId="4CF3E4D9" w14:textId="77777777" w:rsidR="000B4DCF" w:rsidRPr="000B4DCF" w:rsidRDefault="000B4DCF" w:rsidP="000B4DCF">
      <w:pPr>
        <w:spacing w:after="10" w:line="480" w:lineRule="auto"/>
        <w:ind w:right="50"/>
        <w:jc w:val="both"/>
        <w:divId w:val="1966427447"/>
        <w:rPr>
          <w:rFonts w:ascii="Times New Roman" w:hAnsi="Times New Roman" w:cs="Times New Roman"/>
          <w:i/>
          <w:iCs/>
          <w:lang w:val="en-GB"/>
        </w:rPr>
      </w:pPr>
      <w:r w:rsidRPr="000B4DCF">
        <w:rPr>
          <w:rFonts w:ascii="Times New Roman" w:eastAsia="Arial" w:hAnsi="Times New Roman" w:cs="Times New Roman"/>
          <w:b/>
          <w:i/>
          <w:iCs/>
          <w:lang w:val="en-GB"/>
        </w:rPr>
        <w:t xml:space="preserve">The benefit of repairing the deltoid ligament in unstable ankle fractures: </w:t>
      </w:r>
      <w:r w:rsidRPr="000B4DCF">
        <w:rPr>
          <w:rFonts w:ascii="Times New Roman" w:eastAsia="Arial" w:hAnsi="Times New Roman" w:cs="Times New Roman"/>
          <w:b/>
          <w:i/>
          <w:iCs/>
          <w:lang w:val="en-GB"/>
        </w:rPr>
        <w:br/>
      </w:r>
      <w:r w:rsidRPr="000B4DCF">
        <w:rPr>
          <w:rFonts w:ascii="Times New Roman" w:hAnsi="Times New Roman" w:cs="Times New Roman"/>
          <w:i/>
          <w:iCs/>
          <w:lang w:val="en-GB"/>
        </w:rPr>
        <w:t>Patient-reported functional outcome and radiological stability measurements.</w:t>
      </w:r>
    </w:p>
    <w:p w14:paraId="439F33F2"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lang w:val="en-GB"/>
        </w:rPr>
      </w:pPr>
    </w:p>
    <w:p w14:paraId="4D989FF5"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lang w:val="en-GB"/>
        </w:rPr>
      </w:pPr>
      <w:r w:rsidRPr="000B4DCF">
        <w:rPr>
          <w:rFonts w:ascii="Times New Roman" w:eastAsia="Arial" w:hAnsi="Times New Roman" w:cs="Times New Roman"/>
          <w:b/>
          <w:lang w:val="en-GB"/>
        </w:rPr>
        <w:t>Abstract</w:t>
      </w:r>
    </w:p>
    <w:p w14:paraId="733D5A0F"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lang w:val="en-GB"/>
        </w:rPr>
      </w:pPr>
    </w:p>
    <w:p w14:paraId="13B4EC69"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lang w:val="en-GB"/>
        </w:rPr>
      </w:pPr>
      <w:r w:rsidRPr="000B4DCF">
        <w:rPr>
          <w:rFonts w:ascii="Times New Roman" w:eastAsia="Arial" w:hAnsi="Times New Roman" w:cs="Times New Roman"/>
          <w:b/>
          <w:lang w:val="en-GB"/>
        </w:rPr>
        <w:t>Aims</w:t>
      </w:r>
    </w:p>
    <w:p w14:paraId="1EDE2E78"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Cs/>
          <w:lang w:val="en-GB"/>
        </w:rPr>
      </w:pPr>
      <w:r w:rsidRPr="000B4DCF">
        <w:rPr>
          <w:rFonts w:ascii="Times New Roman" w:eastAsia="Arial" w:hAnsi="Times New Roman" w:cs="Times New Roman"/>
          <w:lang w:val="en-GB"/>
        </w:rPr>
        <w:t xml:space="preserve">Suturing the deep posterior deltoid ligament in unstable ankle fractures is novel to established treatment. </w:t>
      </w:r>
      <w:r w:rsidRPr="000B4DCF">
        <w:rPr>
          <w:rFonts w:ascii="Times New Roman" w:eastAsia="Arial" w:hAnsi="Times New Roman" w:cs="Times New Roman"/>
          <w:bCs/>
          <w:lang w:val="en-GB"/>
        </w:rPr>
        <w:t xml:space="preserve">There is reason to believe that deltoid ligament repair in addition to plating of the lateral fracture will improve stability restoration. Cadaveric studies on Weber B fracture complex models have shown promising results. We will perform a randomized controlled multicentre trial to show whether suturing the deep deltoid ligament can contribute to better functional results. Whether the ligament repair affects radiological stability parameters and the incidence of ankle joint osteoarthritis on long term, will also be investigated. </w:t>
      </w:r>
    </w:p>
    <w:p w14:paraId="4CA97F85"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Cs/>
          <w:lang w:val="en-GB"/>
        </w:rPr>
      </w:pPr>
    </w:p>
    <w:p w14:paraId="1D8DE790"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bCs/>
          <w:lang w:val="en-GB"/>
        </w:rPr>
      </w:pPr>
      <w:r w:rsidRPr="000B4DCF">
        <w:rPr>
          <w:rFonts w:ascii="Times New Roman" w:eastAsia="Arial" w:hAnsi="Times New Roman" w:cs="Times New Roman"/>
          <w:b/>
          <w:bCs/>
          <w:lang w:val="en-GB"/>
        </w:rPr>
        <w:t>Methods</w:t>
      </w:r>
    </w:p>
    <w:p w14:paraId="67F93569" w14:textId="77777777"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r w:rsidRPr="000B4DCF">
        <w:rPr>
          <w:rFonts w:ascii="Times New Roman" w:eastAsia="Arial" w:hAnsi="Times New Roman" w:cs="Times New Roman"/>
          <w:lang w:val="en-GB"/>
        </w:rPr>
        <w:t xml:space="preserve">A total of 120 patients with Lauge Hansen SER 4B ankle fractures will be randomized (1:1 ratio) to conventional plating of the lateral malleolus only or additional suture of the deep deltoid ligament. Main end point will be function measured in Olerud-Molander score (OMAS) at 1 and 2 years.  Secondary end points are Self-Reported Foot and Ankle Score (SEFAS), Ankle Fracture Outcome of Rehabilitation Measure (A-FORM), VAS pain and Euroquol EQ 5D-5L. Differences on group level in medial clear space (MCS), side to side differences from weightbearing ankle x-rays (WBXR) and gravity stress X-ray, rates of treatment-related adverse events and incidence of posttraumatic arthritis will be reported. </w:t>
      </w:r>
    </w:p>
    <w:p w14:paraId="5E82DC87" w14:textId="77777777"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p>
    <w:p w14:paraId="5D5309A6"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bCs/>
          <w:lang w:val="en-GB"/>
        </w:rPr>
      </w:pPr>
      <w:r w:rsidRPr="000B4DCF">
        <w:rPr>
          <w:rFonts w:ascii="Times New Roman" w:eastAsia="Arial" w:hAnsi="Times New Roman" w:cs="Times New Roman"/>
          <w:b/>
          <w:bCs/>
          <w:lang w:val="en-GB"/>
        </w:rPr>
        <w:t>Discussion</w:t>
      </w:r>
    </w:p>
    <w:p w14:paraId="55A600A4" w14:textId="77777777" w:rsidR="000B4DCF" w:rsidRPr="000B4DCF" w:rsidRDefault="000B4DCF" w:rsidP="000B4DCF">
      <w:pPr>
        <w:spacing w:after="3" w:line="480" w:lineRule="auto"/>
        <w:ind w:left="-5" w:right="52" w:hanging="10"/>
        <w:divId w:val="1966427447"/>
        <w:rPr>
          <w:rFonts w:ascii="Times New Roman" w:hAnsi="Times New Roman" w:cs="Times New Roman"/>
          <w:lang w:val="en-GB"/>
        </w:rPr>
      </w:pPr>
      <w:r w:rsidRPr="000B4DCF">
        <w:rPr>
          <w:rFonts w:ascii="Times New Roman" w:eastAsia="Arial" w:hAnsi="Times New Roman" w:cs="Times New Roman"/>
          <w:lang w:val="en-GB"/>
        </w:rPr>
        <w:t xml:space="preserve">Several patients sustaining severe ankle </w:t>
      </w:r>
      <w:r w:rsidRPr="000B4DCF">
        <w:rPr>
          <w:rFonts w:ascii="Times New Roman" w:eastAsia="Arial" w:hAnsi="Times New Roman" w:cs="Times New Roman"/>
          <w:color w:val="222222"/>
          <w:lang w:val="en-GB"/>
        </w:rPr>
        <w:t xml:space="preserve">fractures have shown a considerable loss of function including ADL function compared to less severe fractures. Improving treatment outcome </w:t>
      </w:r>
      <w:r w:rsidRPr="000B4DCF">
        <w:rPr>
          <w:rFonts w:ascii="Times New Roman" w:eastAsia="Arial" w:hAnsi="Times New Roman" w:cs="Times New Roman"/>
          <w:color w:val="222222"/>
          <w:lang w:val="en-GB"/>
        </w:rPr>
        <w:lastRenderedPageBreak/>
        <w:t xml:space="preserve">may also be beneficial by </w:t>
      </w:r>
      <w:r w:rsidRPr="000B4DCF">
        <w:rPr>
          <w:rFonts w:ascii="Times New Roman" w:eastAsia="Arial" w:hAnsi="Times New Roman" w:cs="Times New Roman"/>
          <w:bCs/>
          <w:lang w:val="en-GB"/>
        </w:rPr>
        <w:t>preserving working capacity and</w:t>
      </w:r>
      <w:r w:rsidRPr="000B4DCF">
        <w:rPr>
          <w:rFonts w:ascii="Times New Roman" w:eastAsia="Arial" w:hAnsi="Times New Roman" w:cs="Times New Roman"/>
          <w:color w:val="222222"/>
          <w:lang w:val="en-GB"/>
        </w:rPr>
        <w:t xml:space="preserve"> </w:t>
      </w:r>
      <w:r w:rsidRPr="000B4DCF">
        <w:rPr>
          <w:rFonts w:ascii="Times New Roman" w:eastAsia="Arial" w:hAnsi="Times New Roman" w:cs="Times New Roman"/>
          <w:bCs/>
          <w:lang w:val="en-GB"/>
        </w:rPr>
        <w:t xml:space="preserve">quality of life </w:t>
      </w:r>
      <w:r w:rsidRPr="000B4DCF">
        <w:rPr>
          <w:rFonts w:ascii="Times New Roman" w:eastAsia="Arial" w:hAnsi="Times New Roman" w:cs="Times New Roman"/>
          <w:color w:val="222222"/>
          <w:lang w:val="en-GB"/>
        </w:rPr>
        <w:t>and thereby reducing community expenses.</w:t>
      </w:r>
      <w:r w:rsidRPr="000B4DCF">
        <w:rPr>
          <w:rFonts w:ascii="Times New Roman" w:eastAsia="Arial" w:hAnsi="Times New Roman" w:cs="Times New Roman"/>
          <w:lang w:val="en-GB"/>
        </w:rPr>
        <w:t xml:space="preserve"> The objective of this RCT is the contribution from repair of the deep deltoid ligament in unstable Weber B ankle fractures. Because of increasing attention to deltoid ligament patency as fundamental to ankle joint stability particularly in a fracture setting, lately increasing interest has been paid to repairing the medial ankle ligament complex. This both as an option or an add to osteosynthesis of the lateral malleolus and trans-syndesmotic fixation. </w:t>
      </w:r>
    </w:p>
    <w:p w14:paraId="5C737D86" w14:textId="77777777" w:rsidR="000B4DCF" w:rsidRPr="000B4DCF" w:rsidRDefault="000B4DCF" w:rsidP="000B4DCF">
      <w:pPr>
        <w:spacing w:after="165" w:line="480" w:lineRule="auto"/>
        <w:ind w:right="51"/>
        <w:divId w:val="1966427447"/>
        <w:rPr>
          <w:rFonts w:ascii="Times New Roman" w:eastAsia="Arial" w:hAnsi="Times New Roman" w:cs="Times New Roman"/>
          <w:b/>
          <w:bCs/>
          <w:lang w:val="en-GB"/>
        </w:rPr>
      </w:pPr>
    </w:p>
    <w:p w14:paraId="55A377BD" w14:textId="77777777" w:rsidR="000B4DCF" w:rsidRPr="000B4DCF" w:rsidRDefault="000B4DCF" w:rsidP="000B4DCF">
      <w:pPr>
        <w:spacing w:after="165" w:line="480" w:lineRule="auto"/>
        <w:ind w:right="51"/>
        <w:divId w:val="1966427447"/>
        <w:rPr>
          <w:rFonts w:ascii="Times New Roman" w:eastAsia="Arial" w:hAnsi="Times New Roman" w:cs="Times New Roman"/>
          <w:lang w:val="en-GB"/>
        </w:rPr>
      </w:pPr>
      <w:r w:rsidRPr="000B4DCF">
        <w:rPr>
          <w:rFonts w:ascii="Times New Roman" w:eastAsia="Arial" w:hAnsi="Times New Roman" w:cs="Times New Roman"/>
          <w:b/>
          <w:bCs/>
          <w:lang w:val="en-GB"/>
        </w:rPr>
        <w:t>Registration details</w:t>
      </w:r>
      <w:r w:rsidRPr="000B4DCF">
        <w:rPr>
          <w:rFonts w:ascii="Times New Roman" w:eastAsia="Arial" w:hAnsi="Times New Roman" w:cs="Times New Roman"/>
          <w:lang w:val="en-GB"/>
        </w:rPr>
        <w:t xml:space="preserve"> </w:t>
      </w:r>
      <w:r w:rsidRPr="000B4DCF">
        <w:rPr>
          <w:rFonts w:ascii="Times New Roman" w:eastAsia="Arial" w:hAnsi="Times New Roman" w:cs="Times New Roman"/>
          <w:lang w:val="en-GB"/>
        </w:rPr>
        <w:br/>
        <w:t>ClinicalTrials.gov # 2024104.</w:t>
      </w:r>
    </w:p>
    <w:p w14:paraId="7B356360" w14:textId="77777777" w:rsidR="000B4DCF" w:rsidRPr="000B4DCF" w:rsidRDefault="000B4DCF" w:rsidP="000B4DCF">
      <w:pPr>
        <w:spacing w:line="480" w:lineRule="auto"/>
        <w:divId w:val="1966427447"/>
        <w:rPr>
          <w:rFonts w:ascii="Times New Roman" w:hAnsi="Times New Roman" w:cs="Times New Roman"/>
          <w:lang w:val="en-GB"/>
        </w:rPr>
      </w:pPr>
    </w:p>
    <w:p w14:paraId="4A325249" w14:textId="77777777" w:rsidR="000B4DCF" w:rsidRPr="000B4DCF" w:rsidRDefault="000B4DCF" w:rsidP="000B4DCF">
      <w:pPr>
        <w:spacing w:after="152" w:line="480" w:lineRule="auto"/>
        <w:ind w:right="52"/>
        <w:divId w:val="1966427447"/>
        <w:rPr>
          <w:rFonts w:ascii="Times New Roman" w:hAnsi="Times New Roman" w:cs="Times New Roman"/>
          <w:b/>
          <w:bCs/>
          <w:lang w:val="en-GB"/>
        </w:rPr>
      </w:pPr>
      <w:r w:rsidRPr="000B4DCF">
        <w:rPr>
          <w:rFonts w:ascii="Times New Roman" w:hAnsi="Times New Roman" w:cs="Times New Roman"/>
          <w:b/>
          <w:bCs/>
          <w:lang w:val="en-GB"/>
        </w:rPr>
        <w:t>Introduction</w:t>
      </w:r>
    </w:p>
    <w:p w14:paraId="078B9077" w14:textId="77777777" w:rsidR="000B4DCF" w:rsidRPr="000B4DCF" w:rsidRDefault="000B4DCF" w:rsidP="000B4DCF">
      <w:pPr>
        <w:pStyle w:val="ListParagraph"/>
        <w:spacing w:after="152" w:line="480" w:lineRule="auto"/>
        <w:ind w:left="-5" w:right="52"/>
        <w:divId w:val="1966427447"/>
        <w:rPr>
          <w:rFonts w:ascii="Times New Roman" w:eastAsia="Arial" w:hAnsi="Times New Roman" w:cs="Times New Roman"/>
          <w:lang w:val="en-GB"/>
        </w:rPr>
      </w:pPr>
      <w:r w:rsidRPr="000B4DCF">
        <w:rPr>
          <w:rFonts w:ascii="Times New Roman" w:eastAsia="Arial" w:hAnsi="Times New Roman" w:cs="Times New Roman"/>
          <w:lang w:val="en-GB"/>
        </w:rPr>
        <w:t>Ankle fractures occur in 1 out of up to 800 persons a year and are among the most frequent orthopaedic injuries.</w:t>
      </w:r>
      <w:hyperlink r:id="rId8" w:history="1">
        <w:r w:rsidRPr="000B4DCF">
          <w:rPr>
            <w:rFonts w:ascii="Times New Roman" w:eastAsia="Times New Roman" w:hAnsi="Times New Roman" w:cs="Times New Roman"/>
            <w:vertAlign w:val="superscript"/>
            <w:lang w:val="en-GB"/>
          </w:rPr>
          <w:t>27</w:t>
        </w:r>
      </w:hyperlink>
      <w:r w:rsidRPr="000B4DCF">
        <w:rPr>
          <w:rFonts w:ascii="Times New Roman" w:eastAsia="Arial" w:hAnsi="Times New Roman" w:cs="Times New Roman"/>
          <w:lang w:val="en-GB"/>
        </w:rPr>
        <w:t xml:space="preserve"> Post-traumatic arthritis occurs after fractures and sprains and causes persistent stiffness and pain in affected joints. The risk of developing posttraumatic arthritis is linked to the severity of the fracture and joint stability after treatment.</w:t>
      </w:r>
      <w:hyperlink r:id="rId9" w:history="1">
        <w:r w:rsidRPr="000B4DCF">
          <w:rPr>
            <w:rFonts w:ascii="Times New Roman" w:eastAsia="Times New Roman" w:hAnsi="Times New Roman" w:cs="Times New Roman"/>
            <w:vertAlign w:val="superscript"/>
            <w:lang w:val="en-GB"/>
          </w:rPr>
          <w:t>41</w:t>
        </w:r>
      </w:hyperlink>
      <w:hyperlink r:id="rId10" w:history="1">
        <w:r w:rsidRPr="000B4DCF">
          <w:rPr>
            <w:rFonts w:ascii="Times New Roman" w:eastAsia="Times New Roman" w:hAnsi="Times New Roman" w:cs="Times New Roman"/>
            <w:vertAlign w:val="superscript"/>
            <w:lang w:val="en-GB"/>
          </w:rPr>
          <w:t>39</w:t>
        </w:r>
      </w:hyperlink>
      <w:r w:rsidRPr="000B4DCF">
        <w:rPr>
          <w:rFonts w:ascii="Times New Roman" w:eastAsia="Arial" w:hAnsi="Times New Roman" w:cs="Times New Roman"/>
          <w:lang w:val="en-GB"/>
        </w:rPr>
        <w:t xml:space="preserve"> Arthroplasty in the ankle is by now less successful compared to hip and knee.</w:t>
      </w:r>
      <w:hyperlink r:id="rId11" w:history="1">
        <w:r w:rsidRPr="000B4DCF">
          <w:rPr>
            <w:rFonts w:ascii="Times New Roman" w:eastAsia="Times New Roman" w:hAnsi="Times New Roman" w:cs="Times New Roman"/>
            <w:vertAlign w:val="superscript"/>
            <w:lang w:val="en-GB"/>
          </w:rPr>
          <w:t>1</w:t>
        </w:r>
      </w:hyperlink>
      <w:r w:rsidRPr="000B4DCF">
        <w:rPr>
          <w:rFonts w:ascii="Times New Roman" w:eastAsia="Arial" w:hAnsi="Times New Roman" w:cs="Times New Roman"/>
          <w:lang w:val="en-GB"/>
        </w:rPr>
        <w:t xml:space="preserve"> Prevention by optimal trauma care will be preferable to treatment of established arthritis.  </w:t>
      </w:r>
    </w:p>
    <w:p w14:paraId="1031E5D2" w14:textId="77777777" w:rsidR="000B4DCF" w:rsidRPr="000B4DCF" w:rsidRDefault="000B4DCF" w:rsidP="000B4DCF">
      <w:pPr>
        <w:pStyle w:val="ListParagraph"/>
        <w:spacing w:after="152" w:line="480" w:lineRule="auto"/>
        <w:ind w:left="-5" w:right="52"/>
        <w:divId w:val="1966427447"/>
        <w:rPr>
          <w:rFonts w:ascii="Times New Roman" w:hAnsi="Times New Roman" w:cs="Times New Roman"/>
          <w:lang w:val="en-GB"/>
        </w:rPr>
      </w:pPr>
      <w:r w:rsidRPr="000B4DCF">
        <w:rPr>
          <w:rFonts w:ascii="Times New Roman" w:eastAsia="Arial" w:hAnsi="Times New Roman" w:cs="Times New Roman"/>
          <w:lang w:val="en-GB"/>
        </w:rPr>
        <w:br/>
        <w:t>During the last few decades less severe ankle fractures have been shown not to need operative treatment in general.</w:t>
      </w:r>
      <w:hyperlink r:id="rId12" w:history="1">
        <w:r w:rsidRPr="000B4DCF">
          <w:rPr>
            <w:rFonts w:ascii="Times New Roman" w:eastAsia="Times New Roman" w:hAnsi="Times New Roman" w:cs="Times New Roman"/>
            <w:vertAlign w:val="superscript"/>
            <w:lang w:val="en-GB"/>
          </w:rPr>
          <w:t>10,16</w:t>
        </w:r>
      </w:hyperlink>
      <w:r w:rsidRPr="000B4DCF">
        <w:rPr>
          <w:rFonts w:ascii="Times New Roman" w:eastAsia="Arial" w:hAnsi="Times New Roman" w:cs="Times New Roman"/>
          <w:lang w:val="en-GB"/>
        </w:rPr>
        <w:t xml:space="preserve"> The total number of ankle fracture surgeries has decreased. However, how to treat the more complex fractures is still a challenge. Surgically treated fractures nowadays are on average more complex than in samples from the three recent decades. The use of weightbearing x-rays (WBXR) in stability assessment of ankle fractures is now established. This is by now well documented as a main guide in the choice between conservative and surgical treatment</w:t>
      </w:r>
      <w:r>
        <w:rPr>
          <w:rFonts w:ascii="Times New Roman" w:eastAsia="Arial" w:hAnsi="Times New Roman" w:cs="Times New Roman"/>
          <w:lang w:val="en-GB"/>
        </w:rPr>
        <w:t>.</w:t>
      </w:r>
      <w:hyperlink r:id="rId13" w:history="1">
        <w:r w:rsidRPr="000B4DCF">
          <w:rPr>
            <w:rFonts w:ascii="Times New Roman" w:eastAsia="Times New Roman" w:hAnsi="Times New Roman" w:cs="Times New Roman"/>
            <w:vertAlign w:val="superscript"/>
            <w:lang w:val="en-GB"/>
          </w:rPr>
          <w:t>14,38,43</w:t>
        </w:r>
      </w:hyperlink>
      <w:r w:rsidRPr="000B4DCF">
        <w:rPr>
          <w:rFonts w:ascii="Times New Roman" w:eastAsia="Arial" w:hAnsi="Times New Roman" w:cs="Times New Roman"/>
          <w:lang w:val="en-GB"/>
        </w:rPr>
        <w:t xml:space="preserve"> The understanding of these injuries implies a recognition of the role of the deep deltoid ligament as a main stabilizer of the ankle joint.  </w:t>
      </w:r>
    </w:p>
    <w:p w14:paraId="654A72CB" w14:textId="77777777"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r w:rsidRPr="000B4DCF">
        <w:rPr>
          <w:rFonts w:ascii="Times New Roman" w:eastAsia="Arial" w:hAnsi="Times New Roman" w:cs="Times New Roman"/>
          <w:lang w:val="en-GB"/>
        </w:rPr>
        <w:lastRenderedPageBreak/>
        <w:t>Cadaveric studies have shown that, as a single procedure, repair of the deep posterior deltoid ligament tends to give more stability than the osteosynthesis of the lateral malleolus. Combining the ligament suture and the lateral plating increases stability to a large extent</w:t>
      </w:r>
      <w:r>
        <w:rPr>
          <w:rFonts w:ascii="Times New Roman" w:eastAsia="Arial" w:hAnsi="Times New Roman" w:cs="Times New Roman"/>
          <w:lang w:val="en-GB"/>
        </w:rPr>
        <w:t>.</w:t>
      </w:r>
      <w:hyperlink r:id="rId14" w:history="1">
        <w:r w:rsidRPr="000B4DCF">
          <w:rPr>
            <w:rFonts w:ascii="Times New Roman" w:eastAsia="Times New Roman" w:hAnsi="Times New Roman" w:cs="Times New Roman"/>
            <w:vertAlign w:val="superscript"/>
            <w:lang w:val="en-GB"/>
          </w:rPr>
          <w:t>9,15</w:t>
        </w:r>
      </w:hyperlink>
      <w:hyperlink r:id="rId15" w:history="1">
        <w:r w:rsidRPr="000B4DCF">
          <w:rPr>
            <w:rFonts w:ascii="Times New Roman" w:eastAsia="Times New Roman" w:hAnsi="Times New Roman" w:cs="Times New Roman"/>
            <w:vertAlign w:val="superscript"/>
            <w:lang w:val="en-GB"/>
          </w:rPr>
          <w:t>28</w:t>
        </w:r>
      </w:hyperlink>
      <w:hyperlink r:id="rId16" w:history="1">
        <w:r w:rsidRPr="000B4DCF">
          <w:rPr>
            <w:rFonts w:ascii="Times New Roman" w:eastAsia="Times New Roman" w:hAnsi="Times New Roman" w:cs="Times New Roman"/>
            <w:vertAlign w:val="superscript"/>
            <w:lang w:val="en-GB"/>
          </w:rPr>
          <w:t>3</w:t>
        </w:r>
      </w:hyperlink>
    </w:p>
    <w:p w14:paraId="7422B6DA" w14:textId="77777777" w:rsidR="000B4DCF" w:rsidRPr="000B4DCF" w:rsidRDefault="000B4DCF" w:rsidP="000B4DCF">
      <w:pPr>
        <w:pStyle w:val="ListParagraph"/>
        <w:spacing w:after="152" w:line="480" w:lineRule="auto"/>
        <w:ind w:left="-5" w:right="52"/>
        <w:divId w:val="1966427447"/>
        <w:rPr>
          <w:rFonts w:ascii="Times New Roman" w:eastAsia="Arial" w:hAnsi="Times New Roman" w:cs="Times New Roman"/>
          <w:lang w:val="en-GB"/>
        </w:rPr>
      </w:pPr>
      <w:r w:rsidRPr="000B4DCF">
        <w:rPr>
          <w:rFonts w:ascii="Times New Roman" w:eastAsia="Arial" w:hAnsi="Times New Roman" w:cs="Times New Roman"/>
          <w:color w:val="222222"/>
          <w:lang w:val="en-GB"/>
        </w:rPr>
        <w:t>Repairing the deltoid ligament is an adjunct to already established practice. We see a potential in this additional ligament repair. Clinical support already exists that it seems to have a role in treatment of unstable ankle fractures on group level</w:t>
      </w:r>
      <w:r>
        <w:rPr>
          <w:rFonts w:ascii="Times New Roman" w:eastAsia="Arial" w:hAnsi="Times New Roman" w:cs="Times New Roman"/>
          <w:color w:val="222222"/>
          <w:lang w:val="en-GB"/>
        </w:rPr>
        <w:t>.</w:t>
      </w:r>
      <w:hyperlink r:id="rId17" w:history="1">
        <w:r w:rsidRPr="000B4DCF">
          <w:rPr>
            <w:rFonts w:ascii="Times New Roman" w:eastAsia="Times New Roman" w:hAnsi="Times New Roman" w:cs="Times New Roman"/>
            <w:vertAlign w:val="superscript"/>
            <w:lang w:val="en-GB"/>
          </w:rPr>
          <w:t>36,39,42</w:t>
        </w:r>
      </w:hyperlink>
      <w:r w:rsidRPr="000B4DCF">
        <w:rPr>
          <w:rFonts w:ascii="Times New Roman" w:eastAsia="Arial" w:hAnsi="Times New Roman" w:cs="Times New Roman"/>
          <w:color w:val="222222"/>
          <w:lang w:val="en-GB"/>
        </w:rPr>
        <w:t xml:space="preserve"> The authors have experienced individual cases where deltoid ligament repair has been necessary because of evident medial ankle instability after lateral fracture fixation. </w:t>
      </w:r>
    </w:p>
    <w:p w14:paraId="72CDB29E" w14:textId="77777777" w:rsidR="000B4DCF" w:rsidRPr="000B4DCF" w:rsidRDefault="000B4DCF" w:rsidP="000B4DCF">
      <w:pPr>
        <w:pStyle w:val="ListParagraph"/>
        <w:spacing w:after="152" w:line="480" w:lineRule="auto"/>
        <w:ind w:left="-5" w:right="52"/>
        <w:divId w:val="1966427447"/>
        <w:rPr>
          <w:rFonts w:ascii="Times New Roman" w:eastAsia="Arial" w:hAnsi="Times New Roman" w:cs="Times New Roman"/>
          <w:lang w:val="en-GB"/>
        </w:rPr>
      </w:pPr>
    </w:p>
    <w:p w14:paraId="584A471E" w14:textId="77777777" w:rsidR="000B4DCF" w:rsidRPr="000B4DCF" w:rsidRDefault="000B4DCF" w:rsidP="000B4DCF">
      <w:pPr>
        <w:spacing w:line="480" w:lineRule="auto"/>
        <w:ind w:left="-5" w:hanging="10"/>
        <w:divId w:val="1966427447"/>
        <w:rPr>
          <w:rFonts w:ascii="Times New Roman" w:hAnsi="Times New Roman" w:cs="Times New Roman"/>
          <w:lang w:val="en-GB"/>
        </w:rPr>
      </w:pPr>
      <w:r w:rsidRPr="000B4DCF">
        <w:rPr>
          <w:rFonts w:ascii="Times New Roman" w:eastAsia="Arial" w:hAnsi="Times New Roman" w:cs="Times New Roman"/>
          <w:i/>
          <w:u w:val="single" w:color="000000"/>
          <w:lang w:val="en-GB"/>
        </w:rPr>
        <w:t>Anatomy of the deltoid ligament and its biomechanical properties</w:t>
      </w:r>
      <w:r w:rsidRPr="000B4DCF">
        <w:rPr>
          <w:rFonts w:ascii="Times New Roman" w:eastAsia="Arial" w:hAnsi="Times New Roman" w:cs="Times New Roman"/>
          <w:i/>
          <w:lang w:val="en-GB"/>
        </w:rPr>
        <w:t xml:space="preserve"> </w:t>
      </w:r>
    </w:p>
    <w:p w14:paraId="34971D25" w14:textId="77777777"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r w:rsidRPr="000B4DCF">
        <w:rPr>
          <w:rFonts w:ascii="Times New Roman" w:eastAsia="Arial" w:hAnsi="Times New Roman" w:cs="Times New Roman"/>
          <w:lang w:val="en-GB"/>
        </w:rPr>
        <w:t xml:space="preserve">In ankle fractures, partial tears of the deltoid ligament are not rare. Whether there is </w:t>
      </w:r>
      <w:r w:rsidRPr="000B4DCF">
        <w:rPr>
          <w:rFonts w:ascii="Times New Roman" w:eastAsia="Arial" w:hAnsi="Times New Roman" w:cs="Times New Roman"/>
          <w:i/>
          <w:lang w:val="en-GB"/>
        </w:rPr>
        <w:t>a complete deltoid ligament injury</w:t>
      </w:r>
      <w:r w:rsidRPr="000B4DCF">
        <w:rPr>
          <w:rFonts w:ascii="Times New Roman" w:eastAsia="Arial" w:hAnsi="Times New Roman" w:cs="Times New Roman"/>
          <w:lang w:val="en-GB"/>
        </w:rPr>
        <w:t xml:space="preserve"> or not helps to separate fractures requiring surgery from the rest. The literature on the deltoid ligament reveals inconsistency in description and interpretation of its anatomy and biomechanics</w:t>
      </w:r>
      <w:r>
        <w:rPr>
          <w:rFonts w:ascii="Times New Roman" w:eastAsia="Arial" w:hAnsi="Times New Roman" w:cs="Times New Roman"/>
          <w:lang w:val="en-GB"/>
        </w:rPr>
        <w:t>.</w:t>
      </w:r>
      <w:hyperlink r:id="rId18" w:history="1">
        <w:r w:rsidRPr="000B4DCF">
          <w:rPr>
            <w:rFonts w:ascii="Times New Roman" w:eastAsia="Times New Roman" w:hAnsi="Times New Roman" w:cs="Times New Roman"/>
            <w:vertAlign w:val="superscript"/>
            <w:lang w:val="en-GB"/>
          </w:rPr>
          <w:t>4,11,13,19</w:t>
        </w:r>
      </w:hyperlink>
      <w:r w:rsidRPr="000B4DCF">
        <w:rPr>
          <w:rFonts w:ascii="Times New Roman" w:eastAsia="Arial" w:hAnsi="Times New Roman" w:cs="Times New Roman"/>
          <w:lang w:val="en-GB"/>
        </w:rPr>
        <w:t xml:space="preserve"> Several of the patient samples in clinical reports are a mix of partial and complete ligament injuries. The way of repairing differs</w:t>
      </w:r>
      <w:r>
        <w:rPr>
          <w:rFonts w:ascii="Times New Roman" w:eastAsia="Arial" w:hAnsi="Times New Roman" w:cs="Times New Roman"/>
          <w:lang w:val="en-GB"/>
        </w:rPr>
        <w:t>,</w:t>
      </w:r>
      <w:hyperlink r:id="rId19" w:history="1">
        <w:r w:rsidRPr="000B4DCF">
          <w:rPr>
            <w:rFonts w:ascii="Times New Roman" w:eastAsia="Times New Roman" w:hAnsi="Times New Roman" w:cs="Times New Roman"/>
            <w:vertAlign w:val="superscript"/>
            <w:lang w:val="en-GB"/>
          </w:rPr>
          <w:t>23,24,33,39,46</w:t>
        </w:r>
      </w:hyperlink>
      <w:r w:rsidRPr="000B4DCF">
        <w:rPr>
          <w:rFonts w:ascii="Times New Roman" w:eastAsia="Arial" w:hAnsi="Times New Roman" w:cs="Times New Roman"/>
          <w:lang w:val="en-GB"/>
        </w:rPr>
        <w:t>and also has not been clearly described in some studies</w:t>
      </w:r>
      <w:r>
        <w:rPr>
          <w:rFonts w:ascii="Times New Roman" w:eastAsia="Arial" w:hAnsi="Times New Roman" w:cs="Times New Roman"/>
          <w:lang w:val="en-GB"/>
        </w:rPr>
        <w:t>.</w:t>
      </w:r>
      <w:hyperlink r:id="rId20" w:history="1">
        <w:r w:rsidRPr="000B4DCF">
          <w:rPr>
            <w:rFonts w:ascii="Times New Roman" w:eastAsia="Times New Roman" w:hAnsi="Times New Roman" w:cs="Times New Roman"/>
            <w:vertAlign w:val="superscript"/>
            <w:lang w:val="en-GB"/>
          </w:rPr>
          <w:t>18,40</w:t>
        </w:r>
      </w:hyperlink>
    </w:p>
    <w:p w14:paraId="2445E6B7" w14:textId="77777777" w:rsidR="000B4DCF" w:rsidRPr="000B4DCF" w:rsidRDefault="000B4DCF" w:rsidP="000B4DCF">
      <w:pPr>
        <w:spacing w:after="4" w:line="480" w:lineRule="auto"/>
        <w:ind w:left="1" w:right="57"/>
        <w:jc w:val="both"/>
        <w:divId w:val="1966427447"/>
        <w:rPr>
          <w:rFonts w:ascii="Times New Roman" w:eastAsia="Arial" w:hAnsi="Times New Roman" w:cs="Times New Roman"/>
          <w:lang w:val="en-GB"/>
        </w:rPr>
      </w:pPr>
      <w:r w:rsidRPr="000B4DCF">
        <w:rPr>
          <w:rFonts w:ascii="Times New Roman" w:hAnsi="Times New Roman" w:cs="Times New Roman"/>
          <w:noProof/>
        </w:rPr>
        <w:drawing>
          <wp:anchor distT="0" distB="0" distL="114300" distR="114300" simplePos="0" relativeHeight="251659264" behindDoc="0" locked="0" layoutInCell="1" allowOverlap="0" wp14:anchorId="120F83A4" wp14:editId="7839F594">
            <wp:simplePos x="0" y="0"/>
            <wp:positionH relativeFrom="column">
              <wp:posOffset>762</wp:posOffset>
            </wp:positionH>
            <wp:positionV relativeFrom="paragraph">
              <wp:posOffset>25337</wp:posOffset>
            </wp:positionV>
            <wp:extent cx="3451479" cy="1832610"/>
            <wp:effectExtent l="0" t="0" r="0" b="0"/>
            <wp:wrapSquare wrapText="bothSides"/>
            <wp:docPr id="668" name="Picture 668" descr="A close-up of the bones of the human body&#10;&#10;Description automatically generated"/>
            <wp:cNvGraphicFramePr/>
            <a:graphic xmlns:a="http://schemas.openxmlformats.org/drawingml/2006/main">
              <a:graphicData uri="http://schemas.openxmlformats.org/drawingml/2006/picture">
                <pic:pic xmlns:pic="http://schemas.openxmlformats.org/drawingml/2006/picture">
                  <pic:nvPicPr>
                    <pic:cNvPr id="668" name="Picture 668" descr="A close-up of the bones of the human body&#10;&#10;Description automatically generated"/>
                    <pic:cNvPicPr/>
                  </pic:nvPicPr>
                  <pic:blipFill>
                    <a:blip r:embed="rId21"/>
                    <a:stretch>
                      <a:fillRect/>
                    </a:stretch>
                  </pic:blipFill>
                  <pic:spPr>
                    <a:xfrm>
                      <a:off x="0" y="0"/>
                      <a:ext cx="3451479" cy="1832610"/>
                    </a:xfrm>
                    <a:prstGeom prst="rect">
                      <a:avLst/>
                    </a:prstGeom>
                  </pic:spPr>
                </pic:pic>
              </a:graphicData>
            </a:graphic>
          </wp:anchor>
        </w:drawing>
      </w:r>
      <w:r w:rsidRPr="000B4DCF">
        <w:rPr>
          <w:rFonts w:ascii="Times New Roman" w:eastAsia="Arial" w:hAnsi="Times New Roman" w:cs="Times New Roman"/>
          <w:b/>
          <w:sz w:val="18"/>
          <w:lang w:val="en-GB"/>
        </w:rPr>
        <w:t>Figure 1</w:t>
      </w:r>
      <w:r w:rsidRPr="000B4DCF">
        <w:rPr>
          <w:rFonts w:ascii="Times New Roman" w:eastAsia="Arial" w:hAnsi="Times New Roman" w:cs="Times New Roman"/>
          <w:sz w:val="18"/>
          <w:lang w:val="en-GB"/>
        </w:rPr>
        <w:t xml:space="preserve"> (</w:t>
      </w:r>
      <w:r w:rsidRPr="000B4DCF">
        <w:rPr>
          <w:rFonts w:ascii="Times New Roman" w:eastAsia="Arial" w:hAnsi="Times New Roman" w:cs="Times New Roman"/>
          <w:i/>
          <w:sz w:val="18"/>
          <w:lang w:val="en-GB"/>
        </w:rPr>
        <w:t>A</w:t>
      </w:r>
      <w:r w:rsidRPr="000B4DCF">
        <w:rPr>
          <w:rFonts w:ascii="Times New Roman" w:eastAsia="Arial" w:hAnsi="Times New Roman" w:cs="Times New Roman"/>
          <w:sz w:val="18"/>
          <w:lang w:val="en-GB"/>
        </w:rPr>
        <w:t>) Medial view of the ankle joint ligaments showing their typical fanlike morphology. (</w:t>
      </w:r>
      <w:r w:rsidRPr="000B4DCF">
        <w:rPr>
          <w:rFonts w:ascii="Times New Roman" w:eastAsia="Arial" w:hAnsi="Times New Roman" w:cs="Times New Roman"/>
          <w:i/>
          <w:sz w:val="18"/>
          <w:lang w:val="en-GB"/>
        </w:rPr>
        <w:t>B</w:t>
      </w:r>
      <w:r w:rsidRPr="000B4DCF">
        <w:rPr>
          <w:rFonts w:ascii="Times New Roman" w:eastAsia="Arial" w:hAnsi="Times New Roman" w:cs="Times New Roman"/>
          <w:sz w:val="18"/>
          <w:lang w:val="en-GB"/>
        </w:rPr>
        <w:t>) Frontal section of the ankle joint where the superficial and deep layers of the MCL (medial collateral ligament) are separated by a small mass of fatty tissue. 1, tibia; 1’, medial malleolus; 2, talus; 2’, medial talar process; 3, calcaneus; 3’, sustentaculum tali; 4, navicular tuberosity; 5, superficial layer of the MCL; 6, deep layer of the MCL; 7, tibialis posterior tendon; 8, flexor digitorum longus tendon; 9, flexor hallucis longus tendon; 10, peroneus brevis tendon; 11, peroneus longus tendon. (Golano et al</w:t>
      </w:r>
      <w:hyperlink r:id="rId22" w:history="1">
        <w:r w:rsidRPr="000B4DCF">
          <w:rPr>
            <w:rFonts w:ascii="Times New Roman" w:eastAsia="Times New Roman" w:hAnsi="Times New Roman" w:cs="Times New Roman"/>
            <w:sz w:val="18"/>
            <w:vertAlign w:val="superscript"/>
            <w:lang w:val="en-GB"/>
          </w:rPr>
          <w:t>13</w:t>
        </w:r>
      </w:hyperlink>
      <w:r w:rsidRPr="000B4DCF">
        <w:rPr>
          <w:rFonts w:ascii="Times New Roman" w:eastAsia="Arial" w:hAnsi="Times New Roman" w:cs="Times New Roman"/>
          <w:sz w:val="18"/>
          <w:lang w:val="en-GB"/>
        </w:rPr>
        <w:t>)</w:t>
      </w:r>
      <w:r w:rsidRPr="000B4DCF">
        <w:rPr>
          <w:rFonts w:ascii="Times New Roman" w:eastAsia="Arial" w:hAnsi="Times New Roman" w:cs="Times New Roman"/>
          <w:lang w:val="en-GB"/>
        </w:rPr>
        <w:t xml:space="preserve">  </w:t>
      </w:r>
    </w:p>
    <w:p w14:paraId="28B0BEE4" w14:textId="77777777" w:rsidR="000B4DCF" w:rsidRPr="000B4DCF" w:rsidRDefault="000B4DCF" w:rsidP="000B4DCF">
      <w:pPr>
        <w:spacing w:after="4" w:line="480" w:lineRule="auto"/>
        <w:ind w:left="1" w:right="57"/>
        <w:jc w:val="both"/>
        <w:divId w:val="1966427447"/>
        <w:rPr>
          <w:rFonts w:ascii="Times New Roman" w:hAnsi="Times New Roman" w:cs="Times New Roman"/>
          <w:lang w:val="en-GB"/>
        </w:rPr>
      </w:pPr>
    </w:p>
    <w:p w14:paraId="1F980473" w14:textId="77777777" w:rsidR="000B4DCF" w:rsidRPr="000B4DCF" w:rsidRDefault="000B4DCF" w:rsidP="000B4DCF">
      <w:pPr>
        <w:spacing w:after="3" w:line="480" w:lineRule="auto"/>
        <w:ind w:right="52"/>
        <w:divId w:val="1966427447"/>
        <w:rPr>
          <w:rFonts w:ascii="Times New Roman" w:eastAsia="Arial" w:hAnsi="Times New Roman" w:cs="Times New Roman"/>
          <w:lang w:val="en-GB"/>
        </w:rPr>
      </w:pPr>
      <w:r w:rsidRPr="000B4DCF">
        <w:rPr>
          <w:rFonts w:ascii="Times New Roman" w:eastAsia="Arial" w:hAnsi="Times New Roman" w:cs="Times New Roman"/>
          <w:lang w:val="en-GB"/>
        </w:rPr>
        <w:t xml:space="preserve">Standard operative treatment of Weber B ankle fractures has been plating of the distal fibula, screw fixation of the medial malleolus and, to a varying extent, syndesmotic fixation. Distal </w:t>
      </w:r>
      <w:r w:rsidRPr="000B4DCF">
        <w:rPr>
          <w:rFonts w:ascii="Times New Roman" w:eastAsia="Arial" w:hAnsi="Times New Roman" w:cs="Times New Roman"/>
          <w:lang w:val="en-GB"/>
        </w:rPr>
        <w:lastRenderedPageBreak/>
        <w:t>fibular fracture in combination with a full deltoid ligament tear has been termed «bimalleolar equivalent ankle fracture». It may seem logical and tempting to fix medial malleolar fractures that are evident on x-rays, and this practice has been less disputed. During surgery, when residual instability is found in ankle fractures after fixation of the malleoli, the established strategy has been restabilizing the distal tibiofibular joint/syndesmosis.</w:t>
      </w:r>
      <w:hyperlink r:id="rId23" w:history="1">
        <w:r w:rsidRPr="000B4DCF">
          <w:rPr>
            <w:rFonts w:ascii="Times New Roman" w:eastAsia="Times New Roman" w:hAnsi="Times New Roman" w:cs="Times New Roman"/>
            <w:vertAlign w:val="superscript"/>
            <w:lang w:val="en-GB"/>
          </w:rPr>
          <w:t>28</w:t>
        </w:r>
      </w:hyperlink>
      <w:r w:rsidRPr="000B4DCF">
        <w:rPr>
          <w:rFonts w:ascii="Times New Roman" w:eastAsia="Times New Roman" w:hAnsi="Times New Roman" w:cs="Times New Roman"/>
          <w:lang w:val="en-GB"/>
        </w:rPr>
        <w:t xml:space="preserve"> </w:t>
      </w:r>
      <w:r w:rsidRPr="000B4DCF">
        <w:rPr>
          <w:rFonts w:ascii="Times New Roman" w:eastAsia="Arial" w:hAnsi="Times New Roman" w:cs="Times New Roman"/>
          <w:lang w:val="en-GB"/>
        </w:rPr>
        <w:t xml:space="preserve">This has in general been done by a trans-syndesmotic fixation using a screw or suture button and/or fixation of avulsed syndesmosis-bearing fragments. Frankly, the rationale of not fixing the deltoid ligament is based on the presumption that this is not necessary, unless the ligament is interposed in the medial gutter and obstructing reduction of the ankle joint.  </w:t>
      </w:r>
    </w:p>
    <w:p w14:paraId="25EF7E87" w14:textId="77777777" w:rsidR="000B4DCF" w:rsidRPr="000B4DCF" w:rsidRDefault="000B4DCF" w:rsidP="000B4DCF">
      <w:pPr>
        <w:spacing w:after="3" w:line="480" w:lineRule="auto"/>
        <w:ind w:right="52"/>
        <w:divId w:val="1966427447"/>
        <w:rPr>
          <w:rFonts w:ascii="Times New Roman" w:hAnsi="Times New Roman" w:cs="Times New Roman"/>
          <w:lang w:val="en-GB"/>
        </w:rPr>
      </w:pPr>
    </w:p>
    <w:p w14:paraId="6FD5D735" w14:textId="77777777" w:rsidR="000B4DCF" w:rsidRPr="000B4DCF" w:rsidRDefault="000B4DCF" w:rsidP="000B4DCF">
      <w:pPr>
        <w:spacing w:line="480" w:lineRule="auto"/>
        <w:divId w:val="1966427447"/>
        <w:rPr>
          <w:rFonts w:ascii="Times New Roman" w:hAnsi="Times New Roman" w:cs="Times New Roman"/>
          <w:lang w:val="en-GB"/>
        </w:rPr>
      </w:pPr>
      <w:r w:rsidRPr="000B4DCF">
        <w:rPr>
          <w:rFonts w:ascii="Times New Roman" w:eastAsia="Arial" w:hAnsi="Times New Roman" w:cs="Times New Roman"/>
          <w:lang w:val="en-GB"/>
        </w:rPr>
        <w:t>Deltoid ligament repair is documented to be a good option to regain ankle joint anatomy from smaller studies. This repair also compensates for syndesmotic injury</w:t>
      </w:r>
      <w:r>
        <w:rPr>
          <w:rFonts w:ascii="Times New Roman" w:eastAsia="Arial" w:hAnsi="Times New Roman" w:cs="Times New Roman"/>
          <w:lang w:val="en-GB"/>
        </w:rPr>
        <w:t>.</w:t>
      </w:r>
      <w:hyperlink r:id="rId24" w:history="1">
        <w:r w:rsidRPr="000B4DCF">
          <w:rPr>
            <w:rFonts w:ascii="Times New Roman" w:eastAsia="Times New Roman" w:hAnsi="Times New Roman" w:cs="Times New Roman"/>
            <w:vertAlign w:val="superscript"/>
            <w:lang w:val="en-GB"/>
          </w:rPr>
          <w:t>21</w:t>
        </w:r>
      </w:hyperlink>
      <w:r w:rsidRPr="000B4DCF">
        <w:rPr>
          <w:rFonts w:ascii="Times New Roman" w:eastAsia="Arial" w:hAnsi="Times New Roman" w:cs="Times New Roman"/>
          <w:lang w:val="en-GB"/>
        </w:rPr>
        <w:t xml:space="preserve"> Pakarinen et al showed that lateral malleolar fractures Weber B SER4 with a positive external rotation test after bony fixation did not profit on a trans-syndesmotic screw</w:t>
      </w:r>
      <w:r>
        <w:rPr>
          <w:rFonts w:ascii="Times New Roman" w:eastAsia="Arial" w:hAnsi="Times New Roman" w:cs="Times New Roman"/>
          <w:lang w:val="en-GB"/>
        </w:rPr>
        <w:t>.</w:t>
      </w:r>
      <w:hyperlink r:id="rId25" w:history="1">
        <w:r w:rsidRPr="000B4DCF">
          <w:rPr>
            <w:rFonts w:ascii="Times New Roman" w:eastAsia="Times New Roman" w:hAnsi="Times New Roman" w:cs="Times New Roman"/>
            <w:vertAlign w:val="superscript"/>
            <w:lang w:val="en-GB"/>
          </w:rPr>
          <w:t>32</w:t>
        </w:r>
      </w:hyperlink>
    </w:p>
    <w:p w14:paraId="79AE081B" w14:textId="7AEB9313"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r w:rsidRPr="000B4DCF">
        <w:rPr>
          <w:rFonts w:ascii="Times New Roman" w:eastAsia="Arial" w:hAnsi="Times New Roman" w:cs="Times New Roman"/>
          <w:lang w:val="en-GB"/>
        </w:rPr>
        <w:t>The effect of deep deltoid ligament repair in Weber B ankle fractures and its effect on long term function and arthritis is not yet known from larger clinical studies. Deltoid ligament repair has also been shown to give a more predictable reposition of the tibiofibular syndesmosis than performing a direct trans-syndesmotic fixation and considerably less frequent reoperations for hardware removal</w:t>
      </w:r>
      <w:r>
        <w:rPr>
          <w:rFonts w:ascii="Times New Roman" w:eastAsia="Arial" w:hAnsi="Times New Roman" w:cs="Times New Roman"/>
          <w:lang w:val="en-GB"/>
        </w:rPr>
        <w:t>.</w:t>
      </w:r>
      <w:hyperlink r:id="rId26" w:history="1">
        <w:r w:rsidRPr="000B4DCF">
          <w:rPr>
            <w:rFonts w:ascii="Times New Roman" w:eastAsia="Times New Roman" w:hAnsi="Times New Roman" w:cs="Times New Roman"/>
            <w:vertAlign w:val="superscript"/>
            <w:lang w:val="en-GB"/>
          </w:rPr>
          <w:t>39,44,45</w:t>
        </w:r>
      </w:hyperlink>
      <w:r w:rsidRPr="000B4DCF">
        <w:rPr>
          <w:rFonts w:ascii="Times New Roman" w:eastAsia="Arial" w:hAnsi="Times New Roman" w:cs="Times New Roman"/>
          <w:lang w:val="en-GB"/>
        </w:rPr>
        <w:t xml:space="preserve"> The distal tibiofibular syndesmosis and deltoid ligament have a synergistic effect in ankle stability.</w:t>
      </w:r>
      <w:hyperlink r:id="rId27" w:history="1">
        <w:r w:rsidRPr="000B4DCF">
          <w:rPr>
            <w:rFonts w:ascii="Times New Roman" w:eastAsia="Times New Roman" w:hAnsi="Times New Roman" w:cs="Times New Roman"/>
            <w:vertAlign w:val="superscript"/>
            <w:lang w:val="en-GB"/>
          </w:rPr>
          <w:t>24</w:t>
        </w:r>
      </w:hyperlink>
      <w:r w:rsidRPr="000B4DCF">
        <w:rPr>
          <w:rFonts w:ascii="Times New Roman" w:eastAsia="Arial" w:hAnsi="Times New Roman" w:cs="Times New Roman"/>
          <w:lang w:val="en-GB"/>
        </w:rPr>
        <w:t xml:space="preserve"> When to fix, which or both, is not clear, but fixing one of them seem</w:t>
      </w:r>
      <w:r w:rsidR="00445F33">
        <w:rPr>
          <w:rFonts w:ascii="Times New Roman" w:eastAsia="Arial" w:hAnsi="Times New Roman" w:cs="Times New Roman"/>
          <w:lang w:val="en-GB"/>
        </w:rPr>
        <w:t>s</w:t>
      </w:r>
      <w:r w:rsidRPr="000B4DCF">
        <w:rPr>
          <w:rFonts w:ascii="Times New Roman" w:eastAsia="Arial" w:hAnsi="Times New Roman" w:cs="Times New Roman"/>
          <w:lang w:val="en-GB"/>
        </w:rPr>
        <w:t xml:space="preserve"> to reduce the need of fixing the other. As far as we know, there is no defined gold standard for operative treatment of SER4B fractures. </w:t>
      </w:r>
    </w:p>
    <w:p w14:paraId="7BE86A06" w14:textId="77777777" w:rsidR="008E1916" w:rsidRDefault="008E1916" w:rsidP="000B4DCF">
      <w:pPr>
        <w:spacing w:after="3" w:line="480" w:lineRule="auto"/>
        <w:ind w:right="52"/>
        <w:divId w:val="1966427447"/>
        <w:rPr>
          <w:rFonts w:ascii="Times New Roman" w:hAnsi="Times New Roman" w:cs="Times New Roman"/>
          <w:b/>
          <w:bCs/>
          <w:lang w:val="en-GB"/>
        </w:rPr>
      </w:pPr>
    </w:p>
    <w:p w14:paraId="2479FDC1" w14:textId="4443E657" w:rsidR="000B4DCF" w:rsidRPr="000B4DCF" w:rsidRDefault="000B4DCF" w:rsidP="000B4DCF">
      <w:pPr>
        <w:spacing w:after="3" w:line="480" w:lineRule="auto"/>
        <w:ind w:right="52"/>
        <w:divId w:val="1966427447"/>
        <w:rPr>
          <w:rFonts w:ascii="Times New Roman" w:eastAsia="Arial" w:hAnsi="Times New Roman" w:cs="Times New Roman"/>
          <w:lang w:val="en-GB"/>
        </w:rPr>
      </w:pPr>
      <w:r w:rsidRPr="000B4DCF">
        <w:rPr>
          <w:rFonts w:ascii="Times New Roman" w:hAnsi="Times New Roman" w:cs="Times New Roman"/>
          <w:b/>
          <w:bCs/>
          <w:lang w:val="en-GB"/>
        </w:rPr>
        <w:t>Clinical Relevance</w:t>
      </w:r>
      <w:r w:rsidRPr="000B4DCF">
        <w:rPr>
          <w:rFonts w:ascii="Times New Roman" w:eastAsia="Arial" w:hAnsi="Times New Roman" w:cs="Times New Roman"/>
          <w:lang w:val="en-GB"/>
        </w:rPr>
        <w:t xml:space="preserve"> </w:t>
      </w:r>
    </w:p>
    <w:p w14:paraId="77089805" w14:textId="77777777" w:rsidR="000B4DCF" w:rsidRPr="000B4DCF" w:rsidRDefault="000B4DCF" w:rsidP="000B4DCF">
      <w:pPr>
        <w:pStyle w:val="ListParagraph"/>
        <w:numPr>
          <w:ilvl w:val="0"/>
          <w:numId w:val="9"/>
        </w:numPr>
        <w:spacing w:after="3" w:line="480" w:lineRule="auto"/>
        <w:ind w:right="52"/>
        <w:divId w:val="1966427447"/>
        <w:rPr>
          <w:rFonts w:ascii="Times New Roman" w:hAnsi="Times New Roman" w:cs="Times New Roman"/>
          <w:lang w:val="en-GB"/>
        </w:rPr>
      </w:pPr>
      <w:r w:rsidRPr="000B4DCF">
        <w:rPr>
          <w:rFonts w:ascii="Times New Roman" w:eastAsia="Arial" w:hAnsi="Times New Roman" w:cs="Times New Roman"/>
          <w:lang w:val="en-GB"/>
        </w:rPr>
        <w:t xml:space="preserve">A major number of fractures treated in former study samples were less severe and would be treated conservatively with current guidelines. This supports the need for studies on fractures still chosen for surgery with current guidelines, a group of more severe fractures than in the samples most research has been done on until now. </w:t>
      </w:r>
    </w:p>
    <w:p w14:paraId="1FBCFFE3" w14:textId="77777777" w:rsidR="000B4DCF" w:rsidRPr="000B4DCF" w:rsidRDefault="000B4DCF" w:rsidP="000B4DCF">
      <w:pPr>
        <w:pStyle w:val="ListParagraph"/>
        <w:numPr>
          <w:ilvl w:val="0"/>
          <w:numId w:val="9"/>
        </w:numPr>
        <w:spacing w:after="3" w:line="480" w:lineRule="auto"/>
        <w:ind w:right="52"/>
        <w:divId w:val="1966427447"/>
        <w:rPr>
          <w:rFonts w:ascii="Times New Roman" w:eastAsia="Arial" w:hAnsi="Times New Roman" w:cs="Times New Roman"/>
          <w:lang w:val="en-GB"/>
        </w:rPr>
      </w:pPr>
      <w:r w:rsidRPr="000B4DCF">
        <w:rPr>
          <w:rFonts w:ascii="Times New Roman" w:eastAsia="Arial" w:hAnsi="Times New Roman" w:cs="Times New Roman"/>
          <w:lang w:val="en-GB"/>
        </w:rPr>
        <w:lastRenderedPageBreak/>
        <w:t>The trial presented is the first major RCT on deep posterior deltoid ligament repair in Weber B SER4B ankle fractures. Our trial may give crucial knowledge on whether additional deltoid ligament repair preserves function better than the established treatment with lateral fracture repair and sometimes a trans-syndesmotic fixation</w:t>
      </w:r>
      <w:r w:rsidRPr="000B4DCF">
        <w:rPr>
          <w:rFonts w:ascii="Times New Roman" w:eastAsia="Arial" w:hAnsi="Times New Roman" w:cs="Times New Roman"/>
          <w:b/>
          <w:lang w:val="en-GB"/>
        </w:rPr>
        <w:t>.</w:t>
      </w:r>
      <w:r w:rsidRPr="000B4DCF">
        <w:rPr>
          <w:rFonts w:ascii="Times New Roman" w:eastAsia="Arial" w:hAnsi="Times New Roman" w:cs="Times New Roman"/>
          <w:lang w:val="en-GB"/>
        </w:rPr>
        <w:t xml:space="preserve"> Whether medial ankle joint congruency is reestablished and if deltoid ligament patency can be restored, will also be investigated. And can this help us avoid post-fracture arthritis?</w:t>
      </w:r>
    </w:p>
    <w:p w14:paraId="30B17BE9" w14:textId="77777777"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p>
    <w:p w14:paraId="23EB6852"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bCs/>
          <w:lang w:val="en-GB"/>
        </w:rPr>
      </w:pPr>
      <w:r w:rsidRPr="000B4DCF">
        <w:rPr>
          <w:rFonts w:ascii="Times New Roman" w:eastAsia="Arial" w:hAnsi="Times New Roman" w:cs="Times New Roman"/>
          <w:b/>
          <w:bCs/>
          <w:lang w:val="en-GB"/>
        </w:rPr>
        <w:t>Study objectives</w:t>
      </w:r>
    </w:p>
    <w:p w14:paraId="190DE0FE" w14:textId="77777777" w:rsidR="000B4DCF" w:rsidRPr="000B4DCF" w:rsidRDefault="000B4DCF" w:rsidP="000B4DCF">
      <w:pPr>
        <w:spacing w:after="3" w:line="480" w:lineRule="auto"/>
        <w:ind w:left="55" w:right="52" w:hanging="10"/>
        <w:divId w:val="1966427447"/>
        <w:rPr>
          <w:rFonts w:ascii="Times New Roman" w:eastAsia="Arial" w:hAnsi="Times New Roman" w:cs="Times New Roman"/>
          <w:u w:val="single" w:color="000000"/>
          <w:lang w:val="en-GB"/>
        </w:rPr>
      </w:pPr>
      <w:r w:rsidRPr="000B4DCF">
        <w:rPr>
          <w:rFonts w:ascii="Times New Roman" w:hAnsi="Times New Roman" w:cs="Times New Roman"/>
          <w:noProof/>
        </w:rPr>
        <w:drawing>
          <wp:anchor distT="0" distB="0" distL="114300" distR="114300" simplePos="0" relativeHeight="251660288" behindDoc="0" locked="0" layoutInCell="1" allowOverlap="0" wp14:anchorId="628F2826" wp14:editId="29041D89">
            <wp:simplePos x="0" y="0"/>
            <wp:positionH relativeFrom="margin">
              <wp:posOffset>-26670</wp:posOffset>
            </wp:positionH>
            <wp:positionV relativeFrom="paragraph">
              <wp:posOffset>85725</wp:posOffset>
            </wp:positionV>
            <wp:extent cx="2773680" cy="2750820"/>
            <wp:effectExtent l="0" t="0" r="7620" b="0"/>
            <wp:wrapSquare wrapText="bothSides"/>
            <wp:docPr id="1987" name="Picture 1987" descr="A close-up of a radiography&#10;&#10;Description automatically generated"/>
            <wp:cNvGraphicFramePr/>
            <a:graphic xmlns:a="http://schemas.openxmlformats.org/drawingml/2006/main">
              <a:graphicData uri="http://schemas.openxmlformats.org/drawingml/2006/picture">
                <pic:pic xmlns:pic="http://schemas.openxmlformats.org/drawingml/2006/picture">
                  <pic:nvPicPr>
                    <pic:cNvPr id="1987" name="Picture 1987" descr="A close-up of a radiography&#10;&#10;Description automatically generated"/>
                    <pic:cNvPicPr/>
                  </pic:nvPicPr>
                  <pic:blipFill>
                    <a:blip r:embed="rId28"/>
                    <a:stretch>
                      <a:fillRect/>
                    </a:stretch>
                  </pic:blipFill>
                  <pic:spPr>
                    <a:xfrm>
                      <a:off x="0" y="0"/>
                      <a:ext cx="2773680" cy="2750820"/>
                    </a:xfrm>
                    <a:prstGeom prst="rect">
                      <a:avLst/>
                    </a:prstGeom>
                  </pic:spPr>
                </pic:pic>
              </a:graphicData>
            </a:graphic>
            <wp14:sizeRelH relativeFrom="margin">
              <wp14:pctWidth>0</wp14:pctWidth>
            </wp14:sizeRelH>
            <wp14:sizeRelV relativeFrom="margin">
              <wp14:pctHeight>0</wp14:pctHeight>
            </wp14:sizeRelV>
          </wp:anchor>
        </w:drawing>
      </w:r>
      <w:r w:rsidRPr="000B4DCF">
        <w:rPr>
          <w:rFonts w:ascii="Times New Roman" w:eastAsia="Arial" w:hAnsi="Times New Roman" w:cs="Times New Roman"/>
          <w:lang w:val="en-GB"/>
        </w:rPr>
        <w:t xml:space="preserve">We expect that additional deltoid ligament suture is superior to solely plating of the lateral malleolus when taking minimal important difference (MID) into consideration. </w:t>
      </w:r>
      <w:r w:rsidRPr="000B4DCF">
        <w:rPr>
          <w:rFonts w:ascii="Times New Roman" w:eastAsia="Arial" w:hAnsi="Times New Roman" w:cs="Times New Roman"/>
          <w:lang w:val="en-GB"/>
        </w:rPr>
        <w:br/>
      </w:r>
    </w:p>
    <w:p w14:paraId="447D2386" w14:textId="77777777" w:rsidR="000B4DCF" w:rsidRPr="000B4DCF" w:rsidRDefault="000B4DCF" w:rsidP="000B4DCF">
      <w:pPr>
        <w:spacing w:after="3" w:line="480" w:lineRule="auto"/>
        <w:ind w:left="55" w:right="52" w:hanging="10"/>
        <w:divId w:val="1966427447"/>
        <w:rPr>
          <w:rFonts w:ascii="Times New Roman" w:eastAsia="Arial" w:hAnsi="Times New Roman" w:cs="Times New Roman"/>
          <w:sz w:val="24"/>
          <w:szCs w:val="24"/>
          <w:u w:val="single" w:color="000000"/>
          <w:lang w:val="en-GB"/>
        </w:rPr>
      </w:pPr>
      <w:r w:rsidRPr="000B4DCF">
        <w:rPr>
          <w:rFonts w:ascii="Times New Roman" w:eastAsia="Arial" w:hAnsi="Times New Roman" w:cs="Times New Roman"/>
          <w:u w:val="single" w:color="000000"/>
          <w:lang w:val="en-GB"/>
        </w:rPr>
        <w:t xml:space="preserve">Primary hypothesis: </w:t>
      </w:r>
      <w:r w:rsidRPr="000B4DCF">
        <w:rPr>
          <w:rFonts w:ascii="Times New Roman" w:eastAsia="Arial" w:hAnsi="Times New Roman" w:cs="Times New Roman"/>
          <w:lang w:val="en-GB"/>
        </w:rPr>
        <w:t>«Patient-reported function in Olerud Molander Ankle Score (OMAS)</w:t>
      </w:r>
      <w:r w:rsidRPr="000B4DCF">
        <w:rPr>
          <w:rFonts w:ascii="Times New Roman" w:eastAsia="Times New Roman" w:hAnsi="Times New Roman" w:cs="Times New Roman"/>
          <w:lang w:val="en-GB"/>
        </w:rPr>
        <w:t xml:space="preserve"> </w:t>
      </w:r>
      <w:hyperlink r:id="rId29" w:history="1">
        <w:r w:rsidRPr="000B4DCF">
          <w:rPr>
            <w:rFonts w:ascii="Times New Roman" w:eastAsia="Times New Roman" w:hAnsi="Times New Roman" w:cs="Times New Roman"/>
            <w:vertAlign w:val="superscript"/>
            <w:lang w:val="en-GB"/>
          </w:rPr>
          <w:t>31,34</w:t>
        </w:r>
      </w:hyperlink>
      <w:r w:rsidRPr="000B4DCF">
        <w:rPr>
          <w:rFonts w:ascii="Times New Roman" w:eastAsia="Arial" w:hAnsi="Times New Roman" w:cs="Times New Roman"/>
          <w:lang w:val="en-GB"/>
        </w:rPr>
        <w:t xml:space="preserve"> will be </w:t>
      </w:r>
      <w:r w:rsidRPr="000B4DCF">
        <w:rPr>
          <w:rFonts w:ascii="Times New Roman" w:eastAsia="Arial" w:hAnsi="Times New Roman" w:cs="Times New Roman"/>
          <w:sz w:val="24"/>
          <w:szCs w:val="24"/>
          <w:lang w:val="en-GB"/>
        </w:rPr>
        <w:t xml:space="preserve">clinically superior to after only plating of lateral malleolar fractures in Lauge Hansen SER 4b fractures one and two years after surgery» </w:t>
      </w:r>
      <w:r w:rsidRPr="000B4DCF">
        <w:rPr>
          <w:rFonts w:ascii="Times New Roman" w:eastAsia="Arial" w:hAnsi="Times New Roman" w:cs="Times New Roman"/>
          <w:sz w:val="24"/>
          <w:szCs w:val="24"/>
          <w:lang w:val="en-GB"/>
        </w:rPr>
        <w:br/>
      </w:r>
    </w:p>
    <w:p w14:paraId="0FC8AED0" w14:textId="77777777" w:rsidR="000B4DCF" w:rsidRPr="000B4DCF" w:rsidRDefault="000B4DCF" w:rsidP="000B4DCF">
      <w:pPr>
        <w:spacing w:after="3" w:line="480" w:lineRule="auto"/>
        <w:ind w:left="55" w:right="52" w:hanging="10"/>
        <w:divId w:val="1966427447"/>
        <w:rPr>
          <w:rFonts w:ascii="Times New Roman" w:eastAsia="Arial" w:hAnsi="Times New Roman" w:cs="Times New Roman"/>
          <w:sz w:val="24"/>
          <w:szCs w:val="24"/>
          <w:u w:color="000000"/>
          <w:lang w:val="en-GB"/>
        </w:rPr>
      </w:pPr>
      <w:r w:rsidRPr="000B4DCF">
        <w:rPr>
          <w:rFonts w:ascii="Times New Roman" w:eastAsia="Arial" w:hAnsi="Times New Roman" w:cs="Times New Roman"/>
          <w:sz w:val="24"/>
          <w:szCs w:val="24"/>
          <w:u w:color="000000"/>
          <w:lang w:val="en-GB"/>
        </w:rPr>
        <w:t>The primary hypothesis will also be tested for patient-reported function in A-FORM and SEFAS as they give more nuanced responses and have a less categorical scoring system than the OMAS.</w:t>
      </w:r>
    </w:p>
    <w:p w14:paraId="20E720F4" w14:textId="77777777" w:rsidR="000B4DCF" w:rsidRPr="000B4DCF" w:rsidRDefault="000B4DCF" w:rsidP="000B4DCF">
      <w:pPr>
        <w:spacing w:after="3" w:line="480" w:lineRule="auto"/>
        <w:ind w:left="55" w:right="52" w:hanging="10"/>
        <w:divId w:val="1966427447"/>
        <w:rPr>
          <w:rFonts w:ascii="Times New Roman" w:eastAsia="Arial" w:hAnsi="Times New Roman" w:cs="Times New Roman"/>
          <w:sz w:val="24"/>
          <w:szCs w:val="24"/>
          <w:u w:val="single" w:color="000000"/>
          <w:lang w:val="en-GB"/>
        </w:rPr>
      </w:pPr>
    </w:p>
    <w:p w14:paraId="5DE7FDBE" w14:textId="77777777" w:rsidR="000B4DCF" w:rsidRPr="000B4DCF" w:rsidRDefault="000B4DCF" w:rsidP="000B4DCF">
      <w:pPr>
        <w:spacing w:after="3" w:line="480" w:lineRule="auto"/>
        <w:ind w:left="55" w:right="52" w:hanging="10"/>
        <w:divId w:val="1966427447"/>
        <w:rPr>
          <w:rFonts w:ascii="Times New Roman" w:eastAsia="Arial" w:hAnsi="Times New Roman" w:cs="Times New Roman"/>
          <w:sz w:val="24"/>
          <w:szCs w:val="24"/>
          <w:lang w:val="en-GB"/>
        </w:rPr>
      </w:pPr>
      <w:r w:rsidRPr="000B4DCF">
        <w:rPr>
          <w:rFonts w:ascii="Times New Roman" w:hAnsi="Times New Roman" w:cs="Times New Roman"/>
          <w:sz w:val="24"/>
          <w:szCs w:val="24"/>
          <w:u w:val="single"/>
          <w:lang w:val="en-GB"/>
        </w:rPr>
        <w:t xml:space="preserve">Secondary </w:t>
      </w:r>
      <w:r w:rsidRPr="000B4DCF">
        <w:rPr>
          <w:rFonts w:ascii="Times New Roman" w:eastAsia="Arial" w:hAnsi="Times New Roman" w:cs="Times New Roman"/>
          <w:sz w:val="24"/>
          <w:szCs w:val="24"/>
          <w:u w:val="single" w:color="000000"/>
          <w:lang w:val="en-GB"/>
        </w:rPr>
        <w:t>hypotheses:</w:t>
      </w:r>
      <w:r w:rsidRPr="000B4DCF">
        <w:rPr>
          <w:rFonts w:ascii="Times New Roman" w:eastAsia="Arial" w:hAnsi="Times New Roman" w:cs="Times New Roman"/>
          <w:sz w:val="24"/>
          <w:szCs w:val="24"/>
          <w:lang w:val="en-GB"/>
        </w:rPr>
        <w:t xml:space="preserve"> </w:t>
      </w:r>
      <w:bookmarkStart w:id="0" w:name="_Hlk206144209"/>
      <w:r w:rsidRPr="000B4DCF">
        <w:rPr>
          <w:rFonts w:ascii="Times New Roman" w:eastAsia="Arial" w:hAnsi="Times New Roman" w:cs="Times New Roman"/>
          <w:sz w:val="24"/>
          <w:szCs w:val="24"/>
          <w:lang w:val="en-GB"/>
        </w:rPr>
        <w:t xml:space="preserve">“The difference in medial clear space measurements of injured compared to non-injured side on weightbearing x-rays is significantly different between groups” and </w:t>
      </w:r>
    </w:p>
    <w:p w14:paraId="27FE3858" w14:textId="77777777" w:rsidR="000B4DCF" w:rsidRPr="000B4DCF" w:rsidRDefault="000B4DCF" w:rsidP="000B4DCF">
      <w:pPr>
        <w:spacing w:after="3" w:line="480" w:lineRule="auto"/>
        <w:ind w:left="55" w:right="52" w:hanging="10"/>
        <w:divId w:val="1966427447"/>
        <w:rPr>
          <w:rFonts w:ascii="Times New Roman" w:eastAsia="Arial" w:hAnsi="Times New Roman" w:cs="Times New Roman"/>
          <w:sz w:val="24"/>
          <w:szCs w:val="24"/>
          <w:lang w:val="en-GB"/>
        </w:rPr>
      </w:pPr>
    </w:p>
    <w:p w14:paraId="5EC44509" w14:textId="77777777" w:rsidR="000B4DCF" w:rsidRPr="000B4DCF" w:rsidRDefault="000B4DCF" w:rsidP="000B4DCF">
      <w:pPr>
        <w:spacing w:after="3" w:line="480" w:lineRule="auto"/>
        <w:ind w:left="55" w:right="52" w:hanging="10"/>
        <w:divId w:val="1966427447"/>
        <w:rPr>
          <w:rFonts w:ascii="Times New Roman" w:hAnsi="Times New Roman" w:cs="Times New Roman"/>
          <w:sz w:val="24"/>
          <w:szCs w:val="24"/>
          <w:lang w:val="en-GB"/>
        </w:rPr>
      </w:pPr>
      <w:r w:rsidRPr="000B4DCF">
        <w:rPr>
          <w:rFonts w:ascii="Times New Roman" w:eastAsia="Arial" w:hAnsi="Times New Roman" w:cs="Times New Roman"/>
          <w:sz w:val="24"/>
          <w:szCs w:val="24"/>
          <w:lang w:val="en-GB"/>
        </w:rPr>
        <w:t>“The difference between groups in medial clear space change measured in mm from weightbearing x-rays to gravity stress images of injured side is statistically significant at one or two years”.</w:t>
      </w:r>
      <w:r w:rsidRPr="000B4DCF">
        <w:rPr>
          <w:rFonts w:ascii="Times New Roman" w:hAnsi="Times New Roman" w:cs="Times New Roman"/>
          <w:sz w:val="24"/>
          <w:szCs w:val="24"/>
          <w:lang w:val="en-GB"/>
        </w:rPr>
        <w:tab/>
      </w:r>
    </w:p>
    <w:p w14:paraId="2A994589" w14:textId="77777777" w:rsidR="000B4DCF" w:rsidRPr="000B4DCF" w:rsidRDefault="000B4DCF" w:rsidP="000B4DCF">
      <w:pPr>
        <w:spacing w:after="3" w:line="480" w:lineRule="auto"/>
        <w:ind w:left="55" w:right="52" w:hanging="10"/>
        <w:divId w:val="1966427447"/>
        <w:rPr>
          <w:rFonts w:ascii="Times New Roman" w:hAnsi="Times New Roman" w:cs="Times New Roman"/>
          <w:sz w:val="24"/>
          <w:szCs w:val="24"/>
          <w:lang w:val="en-GB"/>
        </w:rPr>
      </w:pPr>
      <w:r w:rsidRPr="000B4DCF">
        <w:rPr>
          <w:rFonts w:ascii="Times New Roman" w:hAnsi="Times New Roman" w:cs="Times New Roman"/>
          <w:sz w:val="24"/>
          <w:szCs w:val="24"/>
          <w:lang w:val="en-GB"/>
        </w:rPr>
        <w:tab/>
      </w:r>
    </w:p>
    <w:p w14:paraId="550D5563" w14:textId="77777777" w:rsidR="000B4DCF" w:rsidRPr="000B4DCF" w:rsidRDefault="000B4DCF" w:rsidP="000B4DCF">
      <w:pPr>
        <w:spacing w:after="3" w:line="480" w:lineRule="auto"/>
        <w:ind w:left="60" w:right="52"/>
        <w:divId w:val="1966427447"/>
        <w:rPr>
          <w:rFonts w:ascii="Times New Roman" w:hAnsi="Times New Roman" w:cs="Times New Roman"/>
          <w:sz w:val="24"/>
          <w:szCs w:val="24"/>
          <w:lang w:val="en-GB"/>
        </w:rPr>
      </w:pPr>
      <w:r w:rsidRPr="000B4DCF">
        <w:rPr>
          <w:rFonts w:ascii="Times New Roman" w:hAnsi="Times New Roman" w:cs="Times New Roman"/>
          <w:sz w:val="24"/>
          <w:szCs w:val="24"/>
          <w:lang w:val="en-GB"/>
        </w:rPr>
        <w:t xml:space="preserve">A significant difference of medial clear space is set to be &gt;1,0 mm. </w:t>
      </w:r>
      <w:bookmarkEnd w:id="0"/>
      <w:r w:rsidRPr="000B4DCF">
        <w:rPr>
          <w:rFonts w:ascii="Times New Roman" w:eastAsia="Arial" w:hAnsi="Times New Roman" w:cs="Times New Roman"/>
          <w:lang w:val="en-GB"/>
        </w:rPr>
        <w:t>(Figure 2</w:t>
      </w:r>
      <w:hyperlink r:id="rId30" w:history="1">
        <w:r w:rsidRPr="000B4DCF">
          <w:rPr>
            <w:rFonts w:ascii="Times New Roman" w:eastAsia="Times New Roman" w:hAnsi="Times New Roman" w:cs="Times New Roman"/>
            <w:vertAlign w:val="superscript"/>
            <w:lang w:val="en-GB"/>
          </w:rPr>
          <w:t>16</w:t>
        </w:r>
      </w:hyperlink>
      <w:r w:rsidRPr="000B4DCF">
        <w:rPr>
          <w:rFonts w:ascii="Times New Roman" w:eastAsia="Arial" w:hAnsi="Times New Roman" w:cs="Times New Roman"/>
          <w:lang w:val="en-GB"/>
        </w:rPr>
        <w:t xml:space="preserve"> and 4</w:t>
      </w:r>
      <w:hyperlink r:id="rId31" w:history="1">
        <w:r w:rsidRPr="000B4DCF">
          <w:rPr>
            <w:rFonts w:ascii="Times New Roman" w:eastAsia="Times New Roman" w:hAnsi="Times New Roman" w:cs="Times New Roman"/>
            <w:vertAlign w:val="superscript"/>
            <w:lang w:val="en-GB"/>
          </w:rPr>
          <w:t>37</w:t>
        </w:r>
      </w:hyperlink>
      <w:r w:rsidRPr="000B4DCF">
        <w:rPr>
          <w:rFonts w:ascii="Times New Roman" w:eastAsia="Arial" w:hAnsi="Times New Roman" w:cs="Times New Roman"/>
          <w:lang w:val="en-GB"/>
        </w:rPr>
        <w:t>)</w:t>
      </w:r>
    </w:p>
    <w:p w14:paraId="7B918EC7" w14:textId="77777777" w:rsidR="000B4DCF" w:rsidRPr="000B4DCF" w:rsidRDefault="000B4DCF" w:rsidP="000B4DCF">
      <w:pPr>
        <w:spacing w:after="153" w:line="480" w:lineRule="auto"/>
        <w:ind w:right="50"/>
        <w:divId w:val="1966427447"/>
        <w:rPr>
          <w:rFonts w:ascii="Times New Roman" w:hAnsi="Times New Roman" w:cs="Times New Roman"/>
          <w:lang w:val="en-GB"/>
        </w:rPr>
      </w:pPr>
    </w:p>
    <w:p w14:paraId="1A1F6401" w14:textId="77777777" w:rsidR="000B4DCF" w:rsidRPr="000B4DCF" w:rsidRDefault="000B4DCF" w:rsidP="000B4DCF">
      <w:pPr>
        <w:spacing w:after="153" w:line="480" w:lineRule="auto"/>
        <w:ind w:right="50"/>
        <w:divId w:val="1966427447"/>
        <w:rPr>
          <w:rFonts w:ascii="Times New Roman" w:hAnsi="Times New Roman" w:cs="Times New Roman"/>
          <w:b/>
          <w:bCs/>
          <w:lang w:val="en-GB"/>
        </w:rPr>
      </w:pPr>
      <w:r w:rsidRPr="000B4DCF">
        <w:rPr>
          <w:rFonts w:ascii="Times New Roman" w:hAnsi="Times New Roman" w:cs="Times New Roman"/>
          <w:b/>
          <w:bCs/>
          <w:lang w:val="en-GB"/>
        </w:rPr>
        <w:t>Methods</w:t>
      </w:r>
    </w:p>
    <w:p w14:paraId="414C29A5" w14:textId="77777777" w:rsidR="000B4DCF" w:rsidRPr="000B4DCF" w:rsidRDefault="000B4DCF" w:rsidP="000B4DCF">
      <w:pPr>
        <w:spacing w:after="153" w:line="480" w:lineRule="auto"/>
        <w:ind w:right="50"/>
        <w:divId w:val="1966427447"/>
        <w:rPr>
          <w:rFonts w:ascii="Times New Roman" w:hAnsi="Times New Roman" w:cs="Times New Roman"/>
          <w:b/>
          <w:bCs/>
          <w:lang w:val="en-GB"/>
        </w:rPr>
      </w:pPr>
      <w:r w:rsidRPr="000B4DCF">
        <w:rPr>
          <w:rFonts w:ascii="Times New Roman" w:hAnsi="Times New Roman" w:cs="Times New Roman"/>
          <w:b/>
          <w:bCs/>
          <w:lang w:val="en-GB"/>
        </w:rPr>
        <w:t>Study design</w:t>
      </w:r>
      <w:r w:rsidRPr="000B4DCF">
        <w:rPr>
          <w:rFonts w:ascii="Times New Roman" w:hAnsi="Times New Roman" w:cs="Times New Roman"/>
          <w:b/>
          <w:bCs/>
          <w:lang w:val="en-GB"/>
        </w:rPr>
        <w:br/>
      </w:r>
      <w:r w:rsidRPr="000B4DCF">
        <w:rPr>
          <w:rFonts w:ascii="Times New Roman" w:eastAsia="Arial" w:hAnsi="Times New Roman" w:cs="Times New Roman"/>
          <w:lang w:val="en-GB"/>
        </w:rPr>
        <w:t xml:space="preserve">This is the research protocol for a preregistered ongoing multicentre randomized controlled trial (computerized) with clinical superiority design. </w:t>
      </w:r>
      <w:r w:rsidRPr="000B4DCF">
        <w:rPr>
          <w:rFonts w:ascii="Times New Roman" w:eastAsia="Arial" w:hAnsi="Times New Roman" w:cs="Times New Roman"/>
          <w:bCs/>
          <w:lang w:val="en-GB"/>
        </w:rPr>
        <w:t xml:space="preserve">We aim to show whether deltoid ligament suture gives a superior result to solely osteosynthesis of the lateral malleolus in unstable Weber B/Lauge-Hansen Supination External Rotation 4b (SER4b) ankle fractures. </w:t>
      </w:r>
      <w:r w:rsidRPr="000B4DCF">
        <w:rPr>
          <w:rFonts w:ascii="Times New Roman" w:eastAsia="Arial" w:hAnsi="Times New Roman" w:cs="Times New Roman"/>
          <w:lang w:val="en-GB"/>
        </w:rPr>
        <w:t>The protocol is developed in adherence with the Standard Protocol Items: Recommendations for Interventional Trials (SPIRIT) statement</w:t>
      </w:r>
      <w:hyperlink r:id="rId32" w:history="1">
        <w:r w:rsidRPr="000B4DCF">
          <w:rPr>
            <w:rFonts w:ascii="Times New Roman" w:eastAsia="Times New Roman" w:hAnsi="Times New Roman" w:cs="Times New Roman"/>
            <w:vertAlign w:val="superscript"/>
            <w:lang w:val="en-GB"/>
          </w:rPr>
          <w:t>5,6</w:t>
        </w:r>
      </w:hyperlink>
      <w:r w:rsidRPr="000B4DCF">
        <w:rPr>
          <w:rFonts w:ascii="Times New Roman" w:eastAsia="Arial" w:hAnsi="Times New Roman" w:cs="Times New Roman"/>
          <w:lang w:val="en-GB"/>
        </w:rPr>
        <w:t>. When submitting this protocol, 9 patients were enrolled in the study. Inclusion started in September 2024, and we anticipate reaching our recruitment target of 120 patients within 2026.</w:t>
      </w:r>
    </w:p>
    <w:p w14:paraId="21E66A06" w14:textId="77777777" w:rsidR="000B4DCF" w:rsidRPr="000B4DCF" w:rsidRDefault="000B4DCF" w:rsidP="000B4DCF">
      <w:pPr>
        <w:spacing w:after="165" w:line="480" w:lineRule="auto"/>
        <w:ind w:right="51"/>
        <w:divId w:val="1966427447"/>
        <w:rPr>
          <w:rFonts w:ascii="Times New Roman" w:eastAsia="Arial" w:hAnsi="Times New Roman" w:cs="Times New Roman"/>
          <w:b/>
          <w:bCs/>
          <w:lang w:val="en-GB"/>
        </w:rPr>
      </w:pPr>
      <w:r w:rsidRPr="000B4DCF">
        <w:rPr>
          <w:rFonts w:ascii="Times New Roman" w:eastAsia="Arial" w:hAnsi="Times New Roman" w:cs="Times New Roman"/>
          <w:b/>
          <w:bCs/>
          <w:lang w:val="en-GB"/>
        </w:rPr>
        <w:t>Study setting</w:t>
      </w:r>
      <w:r w:rsidRPr="000B4DCF">
        <w:rPr>
          <w:rFonts w:ascii="Times New Roman" w:eastAsia="Arial" w:hAnsi="Times New Roman" w:cs="Times New Roman"/>
          <w:b/>
          <w:bCs/>
          <w:lang w:val="en-GB"/>
        </w:rPr>
        <w:br/>
      </w:r>
      <w:r w:rsidRPr="000B4DCF">
        <w:rPr>
          <w:rFonts w:ascii="Times New Roman" w:eastAsia="Arial" w:hAnsi="Times New Roman" w:cs="Times New Roman"/>
          <w:lang w:val="en-GB"/>
        </w:rPr>
        <w:t xml:space="preserve">Patients will be included by written consent after written and oral information. Patients will be included from the area of Sykehuset Levanger, Nordlandssykehuset Bodø, Sykehuset Innlandet, Haukeland University Hospital, Ålesund Hospital, Stavanger University Hospital, Oslo University Hospital and Sykehuset Østfold. </w:t>
      </w:r>
    </w:p>
    <w:p w14:paraId="1F7E1BCF" w14:textId="77777777" w:rsidR="000B4DCF" w:rsidRPr="000B4DCF" w:rsidRDefault="000B4DCF" w:rsidP="000B4DCF">
      <w:pPr>
        <w:spacing w:line="480" w:lineRule="auto"/>
        <w:ind w:right="51"/>
        <w:divId w:val="1966427447"/>
        <w:rPr>
          <w:rFonts w:ascii="Times New Roman" w:eastAsia="Arial" w:hAnsi="Times New Roman" w:cs="Times New Roman"/>
          <w:lang w:val="en-GB"/>
        </w:rPr>
      </w:pPr>
      <w:r w:rsidRPr="000B4DCF">
        <w:rPr>
          <w:rFonts w:ascii="Times New Roman" w:eastAsia="Arial" w:hAnsi="Times New Roman" w:cs="Times New Roman"/>
          <w:b/>
          <w:bCs/>
          <w:sz w:val="18"/>
          <w:szCs w:val="18"/>
          <w:lang w:val="en-GB"/>
        </w:rPr>
        <w:t>Table 1. Eligibility criteria.</w:t>
      </w:r>
    </w:p>
    <w:p w14:paraId="43FD8D72" w14:textId="77777777" w:rsidR="000B4DCF" w:rsidRPr="000B4DCF" w:rsidRDefault="000B4DCF" w:rsidP="000B4DCF">
      <w:pPr>
        <w:spacing w:after="165" w:line="480" w:lineRule="auto"/>
        <w:ind w:left="-15" w:right="51"/>
        <w:divId w:val="1966427447"/>
        <w:rPr>
          <w:rFonts w:ascii="Times New Roman" w:eastAsia="Arial" w:hAnsi="Times New Roman" w:cs="Times New Roman"/>
          <w:b/>
          <w:bCs/>
          <w:lang w:val="en-GB"/>
        </w:rPr>
      </w:pPr>
    </w:p>
    <w:p w14:paraId="71281F8F" w14:textId="77777777" w:rsidR="000B4DCF" w:rsidRPr="000B4DCF" w:rsidRDefault="000B4DCF" w:rsidP="000B4DCF">
      <w:pPr>
        <w:spacing w:after="165" w:line="480" w:lineRule="auto"/>
        <w:ind w:left="-15" w:right="51"/>
        <w:divId w:val="1966427447"/>
        <w:rPr>
          <w:rFonts w:ascii="Times New Roman" w:eastAsia="Arial" w:hAnsi="Times New Roman" w:cs="Times New Roman"/>
          <w:b/>
          <w:bCs/>
          <w:lang w:val="en-GB"/>
        </w:rPr>
      </w:pPr>
      <w:r w:rsidRPr="000B4DCF">
        <w:rPr>
          <w:rFonts w:ascii="Times New Roman" w:eastAsia="Arial" w:hAnsi="Times New Roman" w:cs="Times New Roman"/>
          <w:b/>
          <w:bCs/>
          <w:lang w:val="en-GB"/>
        </w:rPr>
        <w:t>Interventions</w:t>
      </w:r>
    </w:p>
    <w:p w14:paraId="2B4FA64A" w14:textId="77777777" w:rsidR="000B4DCF" w:rsidRPr="000B4DCF" w:rsidRDefault="000B4DCF" w:rsidP="000B4DCF">
      <w:pPr>
        <w:spacing w:after="165" w:line="480" w:lineRule="auto"/>
        <w:ind w:right="51"/>
        <w:divId w:val="1966427447"/>
        <w:rPr>
          <w:rFonts w:ascii="Times New Roman" w:eastAsia="Arial" w:hAnsi="Times New Roman" w:cs="Times New Roman"/>
          <w:lang w:val="en-GB"/>
        </w:rPr>
      </w:pPr>
      <w:r w:rsidRPr="000B4DCF">
        <w:rPr>
          <w:rFonts w:ascii="Times New Roman" w:eastAsia="Times New Roman" w:hAnsi="Times New Roman" w:cs="Times New Roman"/>
          <w:lang w:val="en-GB"/>
        </w:rPr>
        <w:lastRenderedPageBreak/>
        <w:t xml:space="preserve">Surgery should be performed within 2 weeks after injury. Treatment in both arms of randomisation must be performed by equally experienced surgeons, a consultant or fellowship-trained orthopaedic surgeon taking part in the procedure, preferably a foot and ankle surgeon or experienced trauma surgeon. </w:t>
      </w:r>
      <w:r w:rsidRPr="000B4DCF">
        <w:rPr>
          <w:rFonts w:ascii="Times New Roman" w:eastAsia="Arial" w:hAnsi="Times New Roman" w:cs="Times New Roman"/>
          <w:lang w:val="en-GB"/>
        </w:rPr>
        <w:t xml:space="preserve">Preoperative CT should be performed as a general routine in suspicion of additional injuries. </w:t>
      </w:r>
    </w:p>
    <w:p w14:paraId="29AB29BE"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bCs/>
          <w:u w:color="000000"/>
          <w:lang w:val="en-GB"/>
        </w:rPr>
      </w:pPr>
      <w:r w:rsidRPr="000B4DCF">
        <w:rPr>
          <w:rFonts w:ascii="Times New Roman" w:eastAsia="Arial" w:hAnsi="Times New Roman" w:cs="Times New Roman"/>
          <w:b/>
          <w:bCs/>
          <w:u w:color="000000"/>
          <w:lang w:val="en-GB"/>
        </w:rPr>
        <w:t>Surgical technique</w:t>
      </w:r>
    </w:p>
    <w:p w14:paraId="266D3518" w14:textId="77777777"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r w:rsidRPr="000B4DCF">
        <w:rPr>
          <w:rFonts w:ascii="Times New Roman" w:eastAsia="Arial" w:hAnsi="Times New Roman" w:cs="Times New Roman"/>
          <w:u w:val="single" w:color="000000"/>
          <w:lang w:val="en-GB"/>
        </w:rPr>
        <w:t>Both treatment arms</w:t>
      </w:r>
      <w:r w:rsidRPr="000B4DCF">
        <w:rPr>
          <w:rFonts w:ascii="Times New Roman" w:eastAsia="Arial" w:hAnsi="Times New Roman" w:cs="Times New Roman"/>
          <w:lang w:val="en-GB"/>
        </w:rPr>
        <w:t xml:space="preserve">: The lateral malleolus shall be fixed with a plate respecting principles of modern fracture treatment. Particularly in cases with several fragments or expecting inferior bone density, we recommend modern plates with angular stability. After lateral plating further testing is optional, i.e. talar shift and tilt or syndesmotic instability. </w:t>
      </w:r>
    </w:p>
    <w:p w14:paraId="469A8FBE" w14:textId="77777777"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r w:rsidRPr="000B4DCF">
        <w:rPr>
          <w:rFonts w:ascii="Times New Roman" w:eastAsia="Arial" w:hAnsi="Times New Roman" w:cs="Times New Roman"/>
          <w:u w:val="single"/>
          <w:lang w:val="en-GB"/>
        </w:rPr>
        <w:t>Concomitant care:</w:t>
      </w:r>
      <w:r w:rsidRPr="000B4DCF">
        <w:rPr>
          <w:rFonts w:ascii="Times New Roman" w:eastAsia="Arial" w:hAnsi="Times New Roman" w:cs="Times New Roman"/>
          <w:lang w:val="en-GB"/>
        </w:rPr>
        <w:t xml:space="preserve"> If the surgeon notices severe instability that he or her finds compulsory to address further, this should be performed, and actions noted in the protocol.</w:t>
      </w:r>
    </w:p>
    <w:p w14:paraId="32894471" w14:textId="77777777" w:rsidR="000B4DCF" w:rsidRPr="000B4DCF" w:rsidRDefault="000B4DCF" w:rsidP="000B4DCF">
      <w:pPr>
        <w:spacing w:after="3" w:line="480" w:lineRule="auto"/>
        <w:ind w:left="-5" w:right="52" w:hanging="10"/>
        <w:divId w:val="1966427447"/>
        <w:rPr>
          <w:rFonts w:ascii="Times New Roman" w:eastAsia="Arial" w:hAnsi="Times New Roman" w:cs="Times New Roman"/>
          <w:i/>
          <w:iCs/>
          <w:lang w:val="en-GB"/>
        </w:rPr>
      </w:pPr>
      <w:r w:rsidRPr="000B4DCF">
        <w:rPr>
          <w:rFonts w:ascii="Times New Roman" w:eastAsia="Arial" w:hAnsi="Times New Roman" w:cs="Times New Roman"/>
          <w:u w:val="single"/>
          <w:lang w:val="en-GB"/>
        </w:rPr>
        <w:t>Patients randomized to additional deltoid ligament repair</w:t>
      </w:r>
      <w:r w:rsidRPr="000B4DCF">
        <w:rPr>
          <w:rFonts w:ascii="Times New Roman" w:eastAsia="Arial" w:hAnsi="Times New Roman" w:cs="Times New Roman"/>
          <w:lang w:val="en-GB"/>
        </w:rPr>
        <w:t xml:space="preserve">: </w:t>
      </w:r>
      <w:r w:rsidRPr="000B4DCF">
        <w:rPr>
          <w:rFonts w:ascii="Times New Roman" w:eastAsia="Arial" w:hAnsi="Times New Roman" w:cs="Times New Roman"/>
          <w:i/>
          <w:iCs/>
          <w:lang w:val="en-GB"/>
        </w:rPr>
        <w:t>Deltoid ligament repair is done by a curved incision following the path of the posterior tibial tendon from just proximal to the posterior limit of the medial malleolus till past the anterior tip. The tendon retinaculum is incised in the direction of the tendon. The tendon is lifted out of its sheath and held proximally.</w:t>
      </w:r>
      <w:r w:rsidRPr="000B4DCF">
        <w:rPr>
          <w:rFonts w:ascii="Times New Roman" w:hAnsi="Times New Roman" w:cs="Times New Roman"/>
          <w:i/>
          <w:iCs/>
          <w:color w:val="222222"/>
          <w:shd w:val="clear" w:color="auto" w:fill="FFFFFF"/>
          <w:lang w:val="en-GB"/>
        </w:rPr>
        <w:t xml:space="preserve"> </w:t>
      </w:r>
      <w:r w:rsidRPr="000B4DCF">
        <w:rPr>
          <w:rFonts w:ascii="Times New Roman" w:eastAsia="Arial" w:hAnsi="Times New Roman" w:cs="Times New Roman"/>
          <w:i/>
          <w:iCs/>
          <w:lang w:val="en-GB"/>
        </w:rPr>
        <w:t>Note the degree of injury to the deep posterior deltoid ligament and site of tear (talar or tibial end). Because the ligament most often is torn on its talar end,</w:t>
      </w:r>
      <w:hyperlink r:id="rId33" w:history="1">
        <w:r w:rsidRPr="000B4DCF">
          <w:rPr>
            <w:rFonts w:ascii="Times New Roman" w:eastAsia="Times New Roman" w:hAnsi="Times New Roman" w:cs="Times New Roman"/>
            <w:vertAlign w:val="superscript"/>
            <w:lang w:val="en-GB"/>
          </w:rPr>
          <w:t>20</w:t>
        </w:r>
      </w:hyperlink>
      <w:r w:rsidRPr="000B4DCF">
        <w:rPr>
          <w:rFonts w:ascii="Times New Roman" w:eastAsia="Arial" w:hAnsi="Times New Roman" w:cs="Times New Roman"/>
          <w:i/>
          <w:iCs/>
          <w:lang w:val="en-GB"/>
        </w:rPr>
        <w:t xml:space="preserve"> the routine repair will be suturing the deep deltoid ligament fibres to a bone anchor in the talus. We recommend temporary pin placement and fluoroscopy in at least one projection (AP) to confirm correct positioning prior to anchor placement. A modern bone anchor must be used. The ligament should be tied sufficiently tight, if not neutral, the ankle is held in slight inversion and 10-15 degrees of plantar flexion when tightening and tying the sutures. Another suture anchor in the anterior colliculus of the medial malleolus is optional. We close more superficial and anterior parts of the ligament tear before putting the tendon back into its retinaculum, which is closed with a resorbable #1 suture or stronger. </w:t>
      </w:r>
    </w:p>
    <w:p w14:paraId="5713636A" w14:textId="77777777" w:rsidR="000B4DCF" w:rsidRPr="000B4DCF" w:rsidRDefault="000B4DCF" w:rsidP="000B4DCF">
      <w:pPr>
        <w:spacing w:after="3" w:line="480" w:lineRule="auto"/>
        <w:ind w:left="-15" w:right="52"/>
        <w:divId w:val="1966427447"/>
        <w:rPr>
          <w:rFonts w:ascii="Times New Roman" w:eastAsia="Arial" w:hAnsi="Times New Roman" w:cs="Times New Roman"/>
          <w:i/>
          <w:iCs/>
          <w:u w:val="single" w:color="000000"/>
          <w:lang w:val="en-GB"/>
        </w:rPr>
      </w:pPr>
      <w:r w:rsidRPr="000B4DCF">
        <w:rPr>
          <w:rFonts w:ascii="Times New Roman" w:eastAsia="Arial" w:hAnsi="Times New Roman" w:cs="Times New Roman"/>
          <w:i/>
          <w:iCs/>
          <w:u w:color="000000"/>
          <w:lang w:val="en-GB"/>
        </w:rPr>
        <w:t>We suggest medial ligament repair prior to lateral plating to get a better overview.</w:t>
      </w:r>
    </w:p>
    <w:p w14:paraId="1DD9B479" w14:textId="77777777" w:rsidR="000B4DCF" w:rsidRPr="000B4DCF" w:rsidRDefault="000B4DCF" w:rsidP="000B4DCF">
      <w:pPr>
        <w:spacing w:after="3" w:line="480" w:lineRule="auto"/>
        <w:ind w:left="-5" w:right="52" w:hanging="10"/>
        <w:divId w:val="1966427447"/>
        <w:rPr>
          <w:rFonts w:ascii="Times New Roman" w:eastAsia="Arial" w:hAnsi="Times New Roman" w:cs="Times New Roman"/>
          <w:u w:val="single" w:color="000000"/>
          <w:lang w:val="en-GB"/>
        </w:rPr>
      </w:pPr>
    </w:p>
    <w:p w14:paraId="43ED4D10" w14:textId="77777777" w:rsidR="000B4DCF" w:rsidRPr="000B4DCF" w:rsidRDefault="000B4DCF" w:rsidP="000B4DCF">
      <w:pPr>
        <w:spacing w:after="3" w:line="480" w:lineRule="auto"/>
        <w:ind w:left="-5" w:right="52" w:hanging="10"/>
        <w:divId w:val="1966427447"/>
        <w:rPr>
          <w:rFonts w:ascii="Times New Roman" w:hAnsi="Times New Roman" w:cs="Times New Roman"/>
          <w:lang w:val="en-GB"/>
        </w:rPr>
      </w:pPr>
      <w:r w:rsidRPr="000B4DCF">
        <w:rPr>
          <w:rFonts w:ascii="Times New Roman" w:eastAsia="Arial" w:hAnsi="Times New Roman" w:cs="Times New Roman"/>
          <w:u w:val="single" w:color="000000"/>
          <w:lang w:val="en-GB"/>
        </w:rPr>
        <w:lastRenderedPageBreak/>
        <w:t xml:space="preserve">Aftertreatment: </w:t>
      </w:r>
      <w:r w:rsidRPr="000B4DCF">
        <w:rPr>
          <w:rFonts w:ascii="Times New Roman" w:eastAsia="Arial" w:hAnsi="Times New Roman" w:cs="Times New Roman"/>
          <w:lang w:val="en-GB"/>
        </w:rPr>
        <w:t xml:space="preserve">Up to 2 weeks in a cast or walker orthosis when loading max 20 kg. Thereafter free movement with or without orthosis from 2 weeks, weightbearing as tolerated. </w:t>
      </w:r>
    </w:p>
    <w:p w14:paraId="01B2471E" w14:textId="77777777"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p>
    <w:p w14:paraId="2F5EF762"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Figure 3</w:t>
      </w:r>
    </w:p>
    <w:p w14:paraId="694527E5" w14:textId="77777777" w:rsidR="000B4DCF" w:rsidRPr="000B4DCF" w:rsidRDefault="000B4DCF" w:rsidP="00B441BE">
      <w:pPr>
        <w:spacing w:after="3"/>
        <w:ind w:left="-6" w:right="51" w:hanging="11"/>
        <w:divId w:val="1966427447"/>
        <w:rPr>
          <w:rFonts w:ascii="Times New Roman" w:eastAsia="Arial" w:hAnsi="Times New Roman" w:cs="Times New Roman"/>
          <w:lang w:val="en-GB"/>
        </w:rPr>
      </w:pPr>
      <w:r w:rsidRPr="000B4DCF">
        <w:rPr>
          <w:rFonts w:ascii="Times New Roman" w:eastAsia="Arial" w:hAnsi="Times New Roman" w:cs="Times New Roman"/>
          <w:noProof/>
          <w:lang w:val="en-GB"/>
        </w:rPr>
        <w:drawing>
          <wp:inline distT="0" distB="0" distL="0" distR="0" wp14:anchorId="1DEDE18B" wp14:editId="0819FBF1">
            <wp:extent cx="2281287" cy="1573800"/>
            <wp:effectExtent l="0" t="0" r="5080" b="7620"/>
            <wp:docPr id="990832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323" r="19916" b="8059"/>
                    <a:stretch/>
                  </pic:blipFill>
                  <pic:spPr bwMode="auto">
                    <a:xfrm>
                      <a:off x="0" y="0"/>
                      <a:ext cx="2359100" cy="1627481"/>
                    </a:xfrm>
                    <a:prstGeom prst="rect">
                      <a:avLst/>
                    </a:prstGeom>
                    <a:noFill/>
                    <a:ln>
                      <a:noFill/>
                    </a:ln>
                    <a:extLst>
                      <a:ext uri="{53640926-AAD7-44D8-BBD7-CCE9431645EC}">
                        <a14:shadowObscured xmlns:a14="http://schemas.microsoft.com/office/drawing/2010/main"/>
                      </a:ext>
                    </a:extLst>
                  </pic:spPr>
                </pic:pic>
              </a:graphicData>
            </a:graphic>
          </wp:inline>
        </w:drawing>
      </w:r>
      <w:r w:rsidRPr="000B4DCF">
        <w:rPr>
          <w:rFonts w:ascii="Times New Roman" w:eastAsia="Arial" w:hAnsi="Times New Roman" w:cs="Times New Roman"/>
          <w:noProof/>
          <w:lang w:val="en-GB"/>
        </w:rPr>
        <w:drawing>
          <wp:inline distT="0" distB="0" distL="0" distR="0" wp14:anchorId="72F2E096" wp14:editId="6A9EC81C">
            <wp:extent cx="1906621" cy="1577386"/>
            <wp:effectExtent l="0" t="0" r="0" b="3810"/>
            <wp:docPr id="1657269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787" t="12129" r="3792" b="1345"/>
                    <a:stretch/>
                  </pic:blipFill>
                  <pic:spPr bwMode="auto">
                    <a:xfrm>
                      <a:off x="0" y="0"/>
                      <a:ext cx="1956964" cy="1619036"/>
                    </a:xfrm>
                    <a:prstGeom prst="rect">
                      <a:avLst/>
                    </a:prstGeom>
                    <a:noFill/>
                    <a:ln>
                      <a:noFill/>
                    </a:ln>
                    <a:extLst>
                      <a:ext uri="{53640926-AAD7-44D8-BBD7-CCE9431645EC}">
                        <a14:shadowObscured xmlns:a14="http://schemas.microsoft.com/office/drawing/2010/main"/>
                      </a:ext>
                    </a:extLst>
                  </pic:spPr>
                </pic:pic>
              </a:graphicData>
            </a:graphic>
          </wp:inline>
        </w:drawing>
      </w:r>
      <w:r w:rsidRPr="000B4DCF">
        <w:rPr>
          <w:rFonts w:ascii="Times New Roman" w:eastAsia="Arial" w:hAnsi="Times New Roman" w:cs="Times New Roman"/>
          <w:noProof/>
          <w:lang w:val="en-GB"/>
        </w:rPr>
        <w:drawing>
          <wp:inline distT="0" distB="0" distL="0" distR="0" wp14:anchorId="686FD07B" wp14:editId="249DF79F">
            <wp:extent cx="983312" cy="1590675"/>
            <wp:effectExtent l="0" t="0" r="7620" b="0"/>
            <wp:docPr id="14547315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7345" cy="1645730"/>
                    </a:xfrm>
                    <a:prstGeom prst="rect">
                      <a:avLst/>
                    </a:prstGeom>
                    <a:noFill/>
                  </pic:spPr>
                </pic:pic>
              </a:graphicData>
            </a:graphic>
          </wp:inline>
        </w:drawing>
      </w:r>
    </w:p>
    <w:p w14:paraId="1D185D00" w14:textId="77777777" w:rsidR="000B4DCF" w:rsidRPr="000B4DCF" w:rsidRDefault="000B4DCF" w:rsidP="00B441BE">
      <w:pPr>
        <w:spacing w:after="3"/>
        <w:ind w:left="-6" w:right="51" w:hanging="11"/>
        <w:divId w:val="1966427447"/>
        <w:rPr>
          <w:rFonts w:ascii="Times New Roman" w:eastAsia="Arial" w:hAnsi="Times New Roman" w:cs="Times New Roman"/>
          <w:lang w:val="en-GB"/>
        </w:rPr>
      </w:pPr>
      <w:r w:rsidRPr="000B4DCF">
        <w:rPr>
          <w:rFonts w:ascii="Times New Roman" w:eastAsia="Arial" w:hAnsi="Times New Roman" w:cs="Times New Roman"/>
          <w:sz w:val="18"/>
          <w:szCs w:val="18"/>
          <w:lang w:val="en-GB"/>
        </w:rPr>
        <w:t>Picture showing weightbearing x-ray where MCS of the right ankle is about 2 mm increased compared to the non-injured left ankle. Deep posterior deltoid ligament sutured to the talus by an anchor placed just plantar to the posterior colliculus. Note the short distance from its attachment to the subtalar joint.</w:t>
      </w:r>
    </w:p>
    <w:p w14:paraId="4AB4968D" w14:textId="77777777"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p>
    <w:p w14:paraId="0D0078FD" w14:textId="77777777" w:rsidR="000B4DCF" w:rsidRPr="000B4DCF" w:rsidRDefault="000B4DCF" w:rsidP="00B441BE">
      <w:pPr>
        <w:spacing w:after="3"/>
        <w:ind w:left="-5" w:right="51" w:hanging="10"/>
        <w:divId w:val="1966427447"/>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Table 2. Patient timeline.</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271"/>
        <w:gridCol w:w="851"/>
        <w:gridCol w:w="1559"/>
        <w:gridCol w:w="1701"/>
        <w:gridCol w:w="2693"/>
      </w:tblGrid>
      <w:tr w:rsidR="000B4DCF" w:rsidRPr="000B4DCF" w14:paraId="7D7CDA64" w14:textId="77777777" w:rsidTr="00A60E3F">
        <w:trPr>
          <w:divId w:val="1966427447"/>
          <w:trHeight w:val="408"/>
        </w:trPr>
        <w:tc>
          <w:tcPr>
            <w:tcW w:w="1271" w:type="dxa"/>
            <w:shd w:val="clear" w:color="auto" w:fill="FFFFFF" w:themeFill="background1"/>
            <w:tcMar>
              <w:top w:w="15" w:type="dxa"/>
              <w:left w:w="108" w:type="dxa"/>
              <w:bottom w:w="0" w:type="dxa"/>
              <w:right w:w="108" w:type="dxa"/>
            </w:tcMar>
            <w:hideMark/>
          </w:tcPr>
          <w:p w14:paraId="662E4C9D"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b/>
                <w:bCs/>
                <w:sz w:val="18"/>
                <w:szCs w:val="18"/>
              </w:rPr>
              <w:t>Time of follow up</w:t>
            </w:r>
          </w:p>
        </w:tc>
        <w:tc>
          <w:tcPr>
            <w:tcW w:w="851" w:type="dxa"/>
            <w:shd w:val="clear" w:color="auto" w:fill="FFFFFF" w:themeFill="background1"/>
            <w:tcMar>
              <w:top w:w="15" w:type="dxa"/>
              <w:left w:w="108" w:type="dxa"/>
              <w:bottom w:w="0" w:type="dxa"/>
              <w:right w:w="108" w:type="dxa"/>
            </w:tcMar>
            <w:hideMark/>
          </w:tcPr>
          <w:p w14:paraId="193E008C"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b/>
                <w:bCs/>
                <w:sz w:val="18"/>
                <w:szCs w:val="18"/>
              </w:rPr>
              <w:t xml:space="preserve">WBXR </w:t>
            </w:r>
          </w:p>
        </w:tc>
        <w:tc>
          <w:tcPr>
            <w:tcW w:w="1559" w:type="dxa"/>
            <w:shd w:val="clear" w:color="auto" w:fill="FFFFFF" w:themeFill="background1"/>
            <w:tcMar>
              <w:top w:w="15" w:type="dxa"/>
              <w:left w:w="108" w:type="dxa"/>
              <w:bottom w:w="0" w:type="dxa"/>
              <w:right w:w="108" w:type="dxa"/>
            </w:tcMar>
            <w:hideMark/>
          </w:tcPr>
          <w:p w14:paraId="7AA7C8B5"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b/>
                <w:bCs/>
                <w:sz w:val="18"/>
                <w:szCs w:val="18"/>
              </w:rPr>
              <w:t>Gravity stress</w:t>
            </w:r>
          </w:p>
        </w:tc>
        <w:tc>
          <w:tcPr>
            <w:tcW w:w="1701" w:type="dxa"/>
            <w:shd w:val="clear" w:color="auto" w:fill="FFFFFF" w:themeFill="background1"/>
            <w:tcMar>
              <w:top w:w="15" w:type="dxa"/>
              <w:left w:w="108" w:type="dxa"/>
              <w:bottom w:w="0" w:type="dxa"/>
              <w:right w:w="108" w:type="dxa"/>
            </w:tcMar>
            <w:hideMark/>
          </w:tcPr>
          <w:p w14:paraId="11CBBD65" w14:textId="77777777" w:rsidR="000B4DCF" w:rsidRPr="000B4DCF" w:rsidRDefault="000B4DCF" w:rsidP="00B441BE">
            <w:pPr>
              <w:spacing w:after="3"/>
              <w:ind w:left="-5" w:right="51" w:hanging="10"/>
              <w:rPr>
                <w:rFonts w:ascii="Times New Roman" w:eastAsia="Arial" w:hAnsi="Times New Roman" w:cs="Times New Roman"/>
                <w:sz w:val="18"/>
                <w:szCs w:val="18"/>
                <w:lang w:val="en-GB"/>
              </w:rPr>
            </w:pPr>
            <w:r w:rsidRPr="000B4DCF">
              <w:rPr>
                <w:rFonts w:ascii="Times New Roman" w:eastAsia="Arial" w:hAnsi="Times New Roman" w:cs="Times New Roman"/>
                <w:b/>
                <w:bCs/>
                <w:sz w:val="18"/>
                <w:szCs w:val="18"/>
                <w:lang w:val="en-GB"/>
              </w:rPr>
              <w:t>PROM (e-survey)</w:t>
            </w:r>
          </w:p>
        </w:tc>
        <w:tc>
          <w:tcPr>
            <w:tcW w:w="2693" w:type="dxa"/>
            <w:shd w:val="clear" w:color="auto" w:fill="FFFFFF" w:themeFill="background1"/>
            <w:tcMar>
              <w:top w:w="15" w:type="dxa"/>
              <w:left w:w="108" w:type="dxa"/>
              <w:bottom w:w="0" w:type="dxa"/>
              <w:right w:w="108" w:type="dxa"/>
            </w:tcMar>
            <w:hideMark/>
          </w:tcPr>
          <w:p w14:paraId="502D860F"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b/>
                <w:bCs/>
                <w:sz w:val="18"/>
                <w:szCs w:val="18"/>
              </w:rPr>
              <w:t>Other</w:t>
            </w:r>
          </w:p>
        </w:tc>
      </w:tr>
      <w:tr w:rsidR="000B4DCF" w:rsidRPr="000B4DCF" w14:paraId="70ACDD3A" w14:textId="77777777" w:rsidTr="00A60E3F">
        <w:trPr>
          <w:divId w:val="1966427447"/>
          <w:trHeight w:val="239"/>
        </w:trPr>
        <w:tc>
          <w:tcPr>
            <w:tcW w:w="1271" w:type="dxa"/>
            <w:shd w:val="clear" w:color="auto" w:fill="FFFFFF" w:themeFill="background1"/>
            <w:tcMar>
              <w:top w:w="15" w:type="dxa"/>
              <w:left w:w="108" w:type="dxa"/>
              <w:bottom w:w="0" w:type="dxa"/>
              <w:right w:w="108" w:type="dxa"/>
            </w:tcMar>
            <w:hideMark/>
          </w:tcPr>
          <w:p w14:paraId="39D33294" w14:textId="77777777" w:rsidR="000B4DCF" w:rsidRPr="000B4DCF" w:rsidRDefault="000B4DCF" w:rsidP="00B441BE">
            <w:pPr>
              <w:spacing w:after="3"/>
              <w:ind w:right="51"/>
              <w:rPr>
                <w:rFonts w:ascii="Times New Roman" w:eastAsia="Arial" w:hAnsi="Times New Roman" w:cs="Times New Roman"/>
                <w:sz w:val="18"/>
                <w:szCs w:val="18"/>
              </w:rPr>
            </w:pPr>
            <w:r w:rsidRPr="000B4DCF">
              <w:rPr>
                <w:rFonts w:ascii="Times New Roman" w:eastAsia="Arial" w:hAnsi="Times New Roman" w:cs="Times New Roman"/>
                <w:b/>
                <w:bCs/>
                <w:sz w:val="18"/>
                <w:szCs w:val="18"/>
              </w:rPr>
              <w:t>6 weeks</w:t>
            </w:r>
          </w:p>
        </w:tc>
        <w:tc>
          <w:tcPr>
            <w:tcW w:w="851" w:type="dxa"/>
            <w:shd w:val="clear" w:color="auto" w:fill="FFFFFF" w:themeFill="background1"/>
            <w:tcMar>
              <w:top w:w="15" w:type="dxa"/>
              <w:left w:w="108" w:type="dxa"/>
              <w:bottom w:w="0" w:type="dxa"/>
              <w:right w:w="108" w:type="dxa"/>
            </w:tcMar>
            <w:hideMark/>
          </w:tcPr>
          <w:p w14:paraId="7648222B"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w:t>
            </w:r>
          </w:p>
        </w:tc>
        <w:tc>
          <w:tcPr>
            <w:tcW w:w="1559" w:type="dxa"/>
            <w:shd w:val="clear" w:color="auto" w:fill="FFFFFF" w:themeFill="background1"/>
            <w:tcMar>
              <w:top w:w="15" w:type="dxa"/>
              <w:left w:w="108" w:type="dxa"/>
              <w:bottom w:w="0" w:type="dxa"/>
              <w:right w:w="108" w:type="dxa"/>
            </w:tcMar>
            <w:hideMark/>
          </w:tcPr>
          <w:p w14:paraId="4853B39F"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 </w:t>
            </w:r>
          </w:p>
        </w:tc>
        <w:tc>
          <w:tcPr>
            <w:tcW w:w="1701" w:type="dxa"/>
            <w:shd w:val="clear" w:color="auto" w:fill="FFFFFF" w:themeFill="background1"/>
            <w:tcMar>
              <w:top w:w="15" w:type="dxa"/>
              <w:left w:w="108" w:type="dxa"/>
              <w:bottom w:w="0" w:type="dxa"/>
              <w:right w:w="108" w:type="dxa"/>
            </w:tcMar>
            <w:hideMark/>
          </w:tcPr>
          <w:p w14:paraId="4E1EB919"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 </w:t>
            </w:r>
          </w:p>
        </w:tc>
        <w:tc>
          <w:tcPr>
            <w:tcW w:w="2693" w:type="dxa"/>
            <w:shd w:val="clear" w:color="auto" w:fill="FFFFFF" w:themeFill="background1"/>
            <w:tcMar>
              <w:top w:w="15" w:type="dxa"/>
              <w:left w:w="108" w:type="dxa"/>
              <w:bottom w:w="0" w:type="dxa"/>
              <w:right w:w="108" w:type="dxa"/>
            </w:tcMar>
            <w:hideMark/>
          </w:tcPr>
          <w:p w14:paraId="0BAFC1DC" w14:textId="77777777" w:rsidR="000B4DCF" w:rsidRPr="000B4DCF" w:rsidRDefault="000B4DCF" w:rsidP="00B441BE">
            <w:pPr>
              <w:spacing w:after="3"/>
              <w:ind w:left="-5" w:right="51" w:hanging="10"/>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VASpain, adverse events</w:t>
            </w:r>
          </w:p>
        </w:tc>
      </w:tr>
      <w:tr w:rsidR="000B4DCF" w:rsidRPr="000B4DCF" w14:paraId="1D0C2526" w14:textId="77777777" w:rsidTr="00A60E3F">
        <w:trPr>
          <w:divId w:val="1966427447"/>
          <w:trHeight w:val="256"/>
        </w:trPr>
        <w:tc>
          <w:tcPr>
            <w:tcW w:w="1271" w:type="dxa"/>
            <w:shd w:val="clear" w:color="auto" w:fill="FFFFFF" w:themeFill="background1"/>
            <w:tcMar>
              <w:top w:w="15" w:type="dxa"/>
              <w:left w:w="108" w:type="dxa"/>
              <w:bottom w:w="0" w:type="dxa"/>
              <w:right w:w="108" w:type="dxa"/>
            </w:tcMar>
            <w:hideMark/>
          </w:tcPr>
          <w:p w14:paraId="32AFDEC6"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b/>
                <w:bCs/>
                <w:sz w:val="18"/>
                <w:szCs w:val="18"/>
              </w:rPr>
              <w:t>12 weeks</w:t>
            </w:r>
          </w:p>
        </w:tc>
        <w:tc>
          <w:tcPr>
            <w:tcW w:w="851" w:type="dxa"/>
            <w:shd w:val="clear" w:color="auto" w:fill="FFFFFF" w:themeFill="background1"/>
            <w:tcMar>
              <w:top w:w="15" w:type="dxa"/>
              <w:left w:w="108" w:type="dxa"/>
              <w:bottom w:w="0" w:type="dxa"/>
              <w:right w:w="108" w:type="dxa"/>
            </w:tcMar>
            <w:hideMark/>
          </w:tcPr>
          <w:p w14:paraId="20023091"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w:t>
            </w:r>
          </w:p>
        </w:tc>
        <w:tc>
          <w:tcPr>
            <w:tcW w:w="1559" w:type="dxa"/>
            <w:shd w:val="clear" w:color="auto" w:fill="FFFFFF" w:themeFill="background1"/>
            <w:tcMar>
              <w:top w:w="15" w:type="dxa"/>
              <w:left w:w="108" w:type="dxa"/>
              <w:bottom w:w="0" w:type="dxa"/>
              <w:right w:w="108" w:type="dxa"/>
            </w:tcMar>
            <w:hideMark/>
          </w:tcPr>
          <w:p w14:paraId="0F0DEDF7"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 </w:t>
            </w:r>
          </w:p>
        </w:tc>
        <w:tc>
          <w:tcPr>
            <w:tcW w:w="1701" w:type="dxa"/>
            <w:shd w:val="clear" w:color="auto" w:fill="FFFFFF" w:themeFill="background1"/>
            <w:tcMar>
              <w:top w:w="15" w:type="dxa"/>
              <w:left w:w="108" w:type="dxa"/>
              <w:bottom w:w="0" w:type="dxa"/>
              <w:right w:w="108" w:type="dxa"/>
            </w:tcMar>
            <w:hideMark/>
          </w:tcPr>
          <w:p w14:paraId="246ED48E"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w:t>
            </w:r>
          </w:p>
        </w:tc>
        <w:tc>
          <w:tcPr>
            <w:tcW w:w="2693" w:type="dxa"/>
            <w:shd w:val="clear" w:color="auto" w:fill="FFFFFF" w:themeFill="background1"/>
            <w:tcMar>
              <w:top w:w="15" w:type="dxa"/>
              <w:left w:w="108" w:type="dxa"/>
              <w:bottom w:w="0" w:type="dxa"/>
              <w:right w:w="108" w:type="dxa"/>
            </w:tcMar>
            <w:hideMark/>
          </w:tcPr>
          <w:p w14:paraId="4ADD0B6D"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 </w:t>
            </w:r>
          </w:p>
        </w:tc>
      </w:tr>
      <w:tr w:rsidR="000B4DCF" w:rsidRPr="000B4DCF" w14:paraId="2D2DCE3C" w14:textId="77777777" w:rsidTr="00A60E3F">
        <w:trPr>
          <w:divId w:val="1966427447"/>
          <w:trHeight w:val="261"/>
        </w:trPr>
        <w:tc>
          <w:tcPr>
            <w:tcW w:w="1271" w:type="dxa"/>
            <w:shd w:val="clear" w:color="auto" w:fill="FFFFFF" w:themeFill="background1"/>
            <w:tcMar>
              <w:top w:w="15" w:type="dxa"/>
              <w:left w:w="108" w:type="dxa"/>
              <w:bottom w:w="0" w:type="dxa"/>
              <w:right w:w="108" w:type="dxa"/>
            </w:tcMar>
            <w:hideMark/>
          </w:tcPr>
          <w:p w14:paraId="75F9E065"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b/>
                <w:bCs/>
                <w:sz w:val="18"/>
                <w:szCs w:val="18"/>
              </w:rPr>
              <w:t>1 year</w:t>
            </w:r>
          </w:p>
        </w:tc>
        <w:tc>
          <w:tcPr>
            <w:tcW w:w="851" w:type="dxa"/>
            <w:shd w:val="clear" w:color="auto" w:fill="FFFFFF" w:themeFill="background1"/>
            <w:tcMar>
              <w:top w:w="15" w:type="dxa"/>
              <w:left w:w="108" w:type="dxa"/>
              <w:bottom w:w="0" w:type="dxa"/>
              <w:right w:w="108" w:type="dxa"/>
            </w:tcMar>
            <w:hideMark/>
          </w:tcPr>
          <w:p w14:paraId="0E22685F"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w:t>
            </w:r>
          </w:p>
        </w:tc>
        <w:tc>
          <w:tcPr>
            <w:tcW w:w="1559" w:type="dxa"/>
            <w:shd w:val="clear" w:color="auto" w:fill="FFFFFF" w:themeFill="background1"/>
            <w:tcMar>
              <w:top w:w="15" w:type="dxa"/>
              <w:left w:w="108" w:type="dxa"/>
              <w:bottom w:w="0" w:type="dxa"/>
              <w:right w:w="108" w:type="dxa"/>
            </w:tcMar>
            <w:hideMark/>
          </w:tcPr>
          <w:p w14:paraId="590ACAB8"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w:t>
            </w:r>
          </w:p>
        </w:tc>
        <w:tc>
          <w:tcPr>
            <w:tcW w:w="1701" w:type="dxa"/>
            <w:shd w:val="clear" w:color="auto" w:fill="FFFFFF" w:themeFill="background1"/>
            <w:tcMar>
              <w:top w:w="15" w:type="dxa"/>
              <w:left w:w="108" w:type="dxa"/>
              <w:bottom w:w="0" w:type="dxa"/>
              <w:right w:w="108" w:type="dxa"/>
            </w:tcMar>
            <w:hideMark/>
          </w:tcPr>
          <w:p w14:paraId="0E0FD641"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 (sent twice*)</w:t>
            </w:r>
          </w:p>
        </w:tc>
        <w:tc>
          <w:tcPr>
            <w:tcW w:w="2693" w:type="dxa"/>
            <w:shd w:val="clear" w:color="auto" w:fill="FFFFFF" w:themeFill="background1"/>
            <w:tcMar>
              <w:top w:w="15" w:type="dxa"/>
              <w:left w:w="108" w:type="dxa"/>
              <w:bottom w:w="0" w:type="dxa"/>
              <w:right w:w="108" w:type="dxa"/>
            </w:tcMar>
            <w:hideMark/>
          </w:tcPr>
          <w:p w14:paraId="109B3430" w14:textId="77777777" w:rsidR="000B4DCF" w:rsidRPr="000B4DCF" w:rsidRDefault="000B4DCF" w:rsidP="00B441BE">
            <w:pPr>
              <w:spacing w:after="3"/>
              <w:ind w:left="-5" w:right="51" w:hanging="10"/>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 (*Validation study PROMs)</w:t>
            </w:r>
          </w:p>
        </w:tc>
      </w:tr>
      <w:tr w:rsidR="000B4DCF" w:rsidRPr="000B4DCF" w14:paraId="44E2D1CE" w14:textId="77777777" w:rsidTr="00A60E3F">
        <w:trPr>
          <w:divId w:val="1966427447"/>
          <w:trHeight w:val="264"/>
        </w:trPr>
        <w:tc>
          <w:tcPr>
            <w:tcW w:w="1271" w:type="dxa"/>
            <w:shd w:val="clear" w:color="auto" w:fill="FFFFFF" w:themeFill="background1"/>
            <w:tcMar>
              <w:top w:w="15" w:type="dxa"/>
              <w:left w:w="108" w:type="dxa"/>
              <w:bottom w:w="0" w:type="dxa"/>
              <w:right w:w="108" w:type="dxa"/>
            </w:tcMar>
            <w:hideMark/>
          </w:tcPr>
          <w:p w14:paraId="514DA17F"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b/>
                <w:bCs/>
                <w:sz w:val="18"/>
                <w:szCs w:val="18"/>
              </w:rPr>
              <w:t>2 years</w:t>
            </w:r>
          </w:p>
        </w:tc>
        <w:tc>
          <w:tcPr>
            <w:tcW w:w="851" w:type="dxa"/>
            <w:shd w:val="clear" w:color="auto" w:fill="FFFFFF" w:themeFill="background1"/>
            <w:tcMar>
              <w:top w:w="15" w:type="dxa"/>
              <w:left w:w="108" w:type="dxa"/>
              <w:bottom w:w="0" w:type="dxa"/>
              <w:right w:w="108" w:type="dxa"/>
            </w:tcMar>
            <w:hideMark/>
          </w:tcPr>
          <w:p w14:paraId="2A396CD7"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w:t>
            </w:r>
          </w:p>
        </w:tc>
        <w:tc>
          <w:tcPr>
            <w:tcW w:w="1559" w:type="dxa"/>
            <w:shd w:val="clear" w:color="auto" w:fill="FFFFFF" w:themeFill="background1"/>
            <w:tcMar>
              <w:top w:w="15" w:type="dxa"/>
              <w:left w:w="108" w:type="dxa"/>
              <w:bottom w:w="0" w:type="dxa"/>
              <w:right w:w="108" w:type="dxa"/>
            </w:tcMar>
            <w:hideMark/>
          </w:tcPr>
          <w:p w14:paraId="78113690"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 </w:t>
            </w:r>
          </w:p>
        </w:tc>
        <w:tc>
          <w:tcPr>
            <w:tcW w:w="1701" w:type="dxa"/>
            <w:shd w:val="clear" w:color="auto" w:fill="FFFFFF" w:themeFill="background1"/>
            <w:tcMar>
              <w:top w:w="15" w:type="dxa"/>
              <w:left w:w="108" w:type="dxa"/>
              <w:bottom w:w="0" w:type="dxa"/>
              <w:right w:w="108" w:type="dxa"/>
            </w:tcMar>
            <w:hideMark/>
          </w:tcPr>
          <w:p w14:paraId="476736EF"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w:t>
            </w:r>
          </w:p>
        </w:tc>
        <w:tc>
          <w:tcPr>
            <w:tcW w:w="2693" w:type="dxa"/>
            <w:shd w:val="clear" w:color="auto" w:fill="FFFFFF" w:themeFill="background1"/>
            <w:tcMar>
              <w:top w:w="15" w:type="dxa"/>
              <w:left w:w="108" w:type="dxa"/>
              <w:bottom w:w="0" w:type="dxa"/>
              <w:right w:w="108" w:type="dxa"/>
            </w:tcMar>
            <w:hideMark/>
          </w:tcPr>
          <w:p w14:paraId="5DB35C25"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 </w:t>
            </w:r>
          </w:p>
        </w:tc>
      </w:tr>
      <w:tr w:rsidR="000B4DCF" w:rsidRPr="000B4DCF" w14:paraId="1643A340" w14:textId="77777777" w:rsidTr="00A60E3F">
        <w:trPr>
          <w:divId w:val="1966427447"/>
          <w:trHeight w:val="255"/>
        </w:trPr>
        <w:tc>
          <w:tcPr>
            <w:tcW w:w="1271" w:type="dxa"/>
            <w:shd w:val="clear" w:color="auto" w:fill="FFFFFF" w:themeFill="background1"/>
            <w:tcMar>
              <w:top w:w="15" w:type="dxa"/>
              <w:left w:w="108" w:type="dxa"/>
              <w:bottom w:w="0" w:type="dxa"/>
              <w:right w:w="108" w:type="dxa"/>
            </w:tcMar>
            <w:hideMark/>
          </w:tcPr>
          <w:p w14:paraId="4C97A7EC"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b/>
                <w:bCs/>
                <w:sz w:val="18"/>
                <w:szCs w:val="18"/>
              </w:rPr>
              <w:t>5 years</w:t>
            </w:r>
          </w:p>
        </w:tc>
        <w:tc>
          <w:tcPr>
            <w:tcW w:w="851" w:type="dxa"/>
            <w:shd w:val="clear" w:color="auto" w:fill="FFFFFF" w:themeFill="background1"/>
            <w:tcMar>
              <w:top w:w="15" w:type="dxa"/>
              <w:left w:w="108" w:type="dxa"/>
              <w:bottom w:w="0" w:type="dxa"/>
              <w:right w:w="108" w:type="dxa"/>
            </w:tcMar>
            <w:hideMark/>
          </w:tcPr>
          <w:p w14:paraId="7111EBA3"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w:t>
            </w:r>
          </w:p>
        </w:tc>
        <w:tc>
          <w:tcPr>
            <w:tcW w:w="1559" w:type="dxa"/>
            <w:shd w:val="clear" w:color="auto" w:fill="FFFFFF" w:themeFill="background1"/>
            <w:tcMar>
              <w:top w:w="15" w:type="dxa"/>
              <w:left w:w="108" w:type="dxa"/>
              <w:bottom w:w="0" w:type="dxa"/>
              <w:right w:w="108" w:type="dxa"/>
            </w:tcMar>
            <w:hideMark/>
          </w:tcPr>
          <w:p w14:paraId="5789C36D"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w:t>
            </w:r>
          </w:p>
        </w:tc>
        <w:tc>
          <w:tcPr>
            <w:tcW w:w="1701" w:type="dxa"/>
            <w:shd w:val="clear" w:color="auto" w:fill="FFFFFF" w:themeFill="background1"/>
            <w:tcMar>
              <w:top w:w="15" w:type="dxa"/>
              <w:left w:w="108" w:type="dxa"/>
              <w:bottom w:w="0" w:type="dxa"/>
              <w:right w:w="108" w:type="dxa"/>
            </w:tcMar>
            <w:hideMark/>
          </w:tcPr>
          <w:p w14:paraId="5B1B0623"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X</w:t>
            </w:r>
          </w:p>
        </w:tc>
        <w:tc>
          <w:tcPr>
            <w:tcW w:w="2693" w:type="dxa"/>
            <w:shd w:val="clear" w:color="auto" w:fill="FFFFFF" w:themeFill="background1"/>
            <w:tcMar>
              <w:top w:w="15" w:type="dxa"/>
              <w:left w:w="108" w:type="dxa"/>
              <w:bottom w:w="0" w:type="dxa"/>
              <w:right w:w="108" w:type="dxa"/>
            </w:tcMar>
            <w:hideMark/>
          </w:tcPr>
          <w:p w14:paraId="36C748E1" w14:textId="77777777" w:rsidR="000B4DCF" w:rsidRPr="000B4DCF" w:rsidRDefault="000B4DCF" w:rsidP="00B441BE">
            <w:pPr>
              <w:spacing w:after="3"/>
              <w:ind w:left="-5" w:right="51" w:hanging="10"/>
              <w:rPr>
                <w:rFonts w:ascii="Times New Roman" w:eastAsia="Arial" w:hAnsi="Times New Roman" w:cs="Times New Roman"/>
                <w:sz w:val="18"/>
                <w:szCs w:val="18"/>
              </w:rPr>
            </w:pPr>
            <w:r w:rsidRPr="000B4DCF">
              <w:rPr>
                <w:rFonts w:ascii="Times New Roman" w:eastAsia="Arial" w:hAnsi="Times New Roman" w:cs="Times New Roman"/>
                <w:sz w:val="18"/>
                <w:szCs w:val="18"/>
              </w:rPr>
              <w:t> </w:t>
            </w:r>
          </w:p>
        </w:tc>
      </w:tr>
    </w:tbl>
    <w:p w14:paraId="3BDA9AFA" w14:textId="77777777" w:rsidR="000B4DCF" w:rsidRPr="000B4DCF" w:rsidRDefault="000B4DCF" w:rsidP="000B4DCF">
      <w:pPr>
        <w:spacing w:after="165" w:line="480" w:lineRule="auto"/>
        <w:ind w:right="51"/>
        <w:divId w:val="1966427447"/>
        <w:rPr>
          <w:rFonts w:ascii="Times New Roman" w:hAnsi="Times New Roman" w:cs="Times New Roman"/>
          <w:sz w:val="18"/>
          <w:szCs w:val="18"/>
          <w:lang w:val="en-GB"/>
        </w:rPr>
      </w:pPr>
      <w:r w:rsidRPr="000B4DCF">
        <w:rPr>
          <w:rFonts w:ascii="Times New Roman" w:eastAsia="Arial" w:hAnsi="Times New Roman" w:cs="Times New Roman"/>
          <w:sz w:val="18"/>
          <w:szCs w:val="18"/>
          <w:lang w:val="en-GB"/>
        </w:rPr>
        <w:t>WBXR of both legs in the mortise projection and measurement of MCS at all times of follow-up, and gravity stress x-rays (Figure 4) for evaluation of deltoid ligament integrity at one and five years)</w:t>
      </w:r>
    </w:p>
    <w:p w14:paraId="4C7842A9" w14:textId="77777777" w:rsidR="000B4DCF" w:rsidRPr="000B4DCF" w:rsidRDefault="000B4DCF" w:rsidP="000B4DCF">
      <w:pPr>
        <w:spacing w:line="480" w:lineRule="auto"/>
        <w:divId w:val="1966427447"/>
        <w:rPr>
          <w:rFonts w:ascii="Times New Roman" w:hAnsi="Times New Roman" w:cs="Times New Roman"/>
          <w:sz w:val="18"/>
          <w:szCs w:val="18"/>
          <w:lang w:val="en-GB"/>
        </w:rPr>
      </w:pPr>
      <w:r w:rsidRPr="000B4DCF">
        <w:rPr>
          <w:rFonts w:ascii="Times New Roman" w:hAnsi="Times New Roman" w:cs="Times New Roman"/>
          <w:b/>
          <w:bCs/>
          <w:sz w:val="18"/>
          <w:szCs w:val="18"/>
          <w:lang w:val="en-GB"/>
        </w:rPr>
        <w:t xml:space="preserve">Figure 4 </w:t>
      </w:r>
      <w:r w:rsidRPr="000B4DCF">
        <w:rPr>
          <w:rFonts w:ascii="Times New Roman" w:hAnsi="Times New Roman" w:cs="Times New Roman"/>
          <w:sz w:val="18"/>
          <w:szCs w:val="18"/>
          <w:lang w:val="en-GB"/>
        </w:rPr>
        <w:t>Gravity stress test after Schock et al</w:t>
      </w:r>
      <w:hyperlink r:id="rId37" w:history="1">
        <w:r w:rsidRPr="000B4DCF">
          <w:rPr>
            <w:rFonts w:ascii="Times New Roman" w:eastAsia="Times New Roman" w:hAnsi="Times New Roman" w:cs="Times New Roman"/>
            <w:sz w:val="18"/>
            <w:vertAlign w:val="superscript"/>
            <w:lang w:val="en-GB"/>
          </w:rPr>
          <w:t>37</w:t>
        </w:r>
      </w:hyperlink>
      <w:r w:rsidRPr="000B4DCF">
        <w:rPr>
          <w:rFonts w:ascii="Times New Roman" w:hAnsi="Times New Roman" w:cs="Times New Roman"/>
          <w:sz w:val="18"/>
          <w:szCs w:val="18"/>
          <w:lang w:val="en-GB"/>
        </w:rPr>
        <w:t>.</w:t>
      </w:r>
    </w:p>
    <w:p w14:paraId="3CA21F11" w14:textId="77777777" w:rsidR="000B4DCF" w:rsidRPr="000B4DCF" w:rsidRDefault="000B4DCF" w:rsidP="000B4DCF">
      <w:pPr>
        <w:spacing w:after="153" w:line="480" w:lineRule="auto"/>
        <w:ind w:right="50"/>
        <w:divId w:val="1966427447"/>
        <w:rPr>
          <w:rFonts w:ascii="Times New Roman" w:eastAsia="Arial" w:hAnsi="Times New Roman" w:cs="Times New Roman"/>
          <w:lang w:val="en-GB"/>
        </w:rPr>
      </w:pPr>
      <w:r w:rsidRPr="000B4DCF">
        <w:rPr>
          <w:rFonts w:ascii="Times New Roman" w:hAnsi="Times New Roman" w:cs="Times New Roman"/>
          <w:noProof/>
        </w:rPr>
        <w:drawing>
          <wp:inline distT="0" distB="0" distL="0" distR="0" wp14:anchorId="5B3148AE" wp14:editId="0CBE24B7">
            <wp:extent cx="2819400" cy="2164080"/>
            <wp:effectExtent l="0" t="0" r="0" b="7620"/>
            <wp:docPr id="1989" name="Picture 1989" descr="A diagram of a leg stretching&#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89" name="Picture 1989" descr="A diagram of a leg stretching&#10;&#10;Description automatically generated with medium confidence"/>
                    <pic:cNvPicPr/>
                  </pic:nvPicPr>
                  <pic:blipFill>
                    <a:blip r:embed="rId38"/>
                    <a:stretch>
                      <a:fillRect/>
                    </a:stretch>
                  </pic:blipFill>
                  <pic:spPr>
                    <a:xfrm>
                      <a:off x="0" y="0"/>
                      <a:ext cx="2819400" cy="2164080"/>
                    </a:xfrm>
                    <a:prstGeom prst="rect">
                      <a:avLst/>
                    </a:prstGeom>
                  </pic:spPr>
                </pic:pic>
              </a:graphicData>
            </a:graphic>
          </wp:inline>
        </w:drawing>
      </w:r>
    </w:p>
    <w:p w14:paraId="328EA891" w14:textId="77777777" w:rsidR="000B4DCF" w:rsidRPr="000B4DCF" w:rsidRDefault="000B4DCF" w:rsidP="000B4DCF">
      <w:pPr>
        <w:spacing w:after="153" w:line="480" w:lineRule="auto"/>
        <w:ind w:right="50"/>
        <w:divId w:val="1966427447"/>
        <w:rPr>
          <w:rFonts w:ascii="Times New Roman" w:eastAsia="Arial" w:hAnsi="Times New Roman" w:cs="Times New Roman"/>
          <w:lang w:val="en-GB"/>
        </w:rPr>
      </w:pPr>
    </w:p>
    <w:p w14:paraId="25E590E7" w14:textId="77777777" w:rsidR="000B4DCF" w:rsidRPr="000B4DCF" w:rsidRDefault="000B4DCF" w:rsidP="000B4DCF">
      <w:pPr>
        <w:spacing w:line="480" w:lineRule="auto"/>
        <w:ind w:right="51"/>
        <w:divId w:val="1966427447"/>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Table 1 Eligibility criteria</w:t>
      </w:r>
    </w:p>
    <w:tbl>
      <w:tblPr>
        <w:tblStyle w:val="TableGrid0"/>
        <w:tblW w:w="0" w:type="auto"/>
        <w:tblInd w:w="-15" w:type="dxa"/>
        <w:tblLook w:val="04A0" w:firstRow="1" w:lastRow="0" w:firstColumn="1" w:lastColumn="0" w:noHBand="0" w:noVBand="1"/>
      </w:tblPr>
      <w:tblGrid>
        <w:gridCol w:w="4148"/>
        <w:gridCol w:w="4169"/>
      </w:tblGrid>
      <w:tr w:rsidR="000B4DCF" w:rsidRPr="00056148" w14:paraId="3183C776" w14:textId="77777777" w:rsidTr="0083043C">
        <w:trPr>
          <w:divId w:val="1966427447"/>
          <w:trHeight w:val="335"/>
        </w:trPr>
        <w:tc>
          <w:tcPr>
            <w:tcW w:w="9077" w:type="dxa"/>
            <w:gridSpan w:val="2"/>
          </w:tcPr>
          <w:p w14:paraId="72F4B9AB" w14:textId="77777777" w:rsidR="000B4DCF" w:rsidRPr="000B4DCF" w:rsidRDefault="000B4DCF" w:rsidP="00B441BE">
            <w:pPr>
              <w:spacing w:after="100" w:afterAutospacing="1"/>
              <w:ind w:right="51"/>
              <w:rPr>
                <w:rFonts w:ascii="Times New Roman" w:eastAsia="Arial" w:hAnsi="Times New Roman" w:cs="Times New Roman"/>
                <w:b/>
                <w:bCs/>
                <w:sz w:val="18"/>
                <w:szCs w:val="18"/>
                <w:lang w:val="en-GB"/>
              </w:rPr>
            </w:pPr>
            <w:bookmarkStart w:id="1" w:name="_Hlk205892501"/>
            <w:r w:rsidRPr="000B4DCF">
              <w:rPr>
                <w:rFonts w:ascii="Times New Roman" w:eastAsia="Arial" w:hAnsi="Times New Roman" w:cs="Times New Roman"/>
                <w:sz w:val="18"/>
                <w:szCs w:val="18"/>
                <w:lang w:val="en-GB"/>
              </w:rPr>
              <w:t xml:space="preserve">Patients are eligible if they present to one of the participating hospitals and comply with the inclusion and exclusion criteria. </w:t>
            </w:r>
          </w:p>
        </w:tc>
      </w:tr>
      <w:tr w:rsidR="000B4DCF" w:rsidRPr="000B4DCF" w14:paraId="7E391C7D" w14:textId="77777777" w:rsidTr="0083043C">
        <w:trPr>
          <w:divId w:val="1966427447"/>
        </w:trPr>
        <w:tc>
          <w:tcPr>
            <w:tcW w:w="4541" w:type="dxa"/>
          </w:tcPr>
          <w:p w14:paraId="2787DAE7" w14:textId="77777777" w:rsidR="000B4DCF" w:rsidRPr="000B4DCF" w:rsidRDefault="000B4DCF" w:rsidP="00B441BE">
            <w:pPr>
              <w:spacing w:after="100" w:afterAutospacing="1"/>
              <w:ind w:right="51"/>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 xml:space="preserve">Inclusion criteria </w:t>
            </w:r>
            <w:r w:rsidRPr="000B4DCF">
              <w:rPr>
                <w:rFonts w:ascii="Times New Roman" w:eastAsia="Arial" w:hAnsi="Times New Roman" w:cs="Times New Roman"/>
                <w:sz w:val="18"/>
                <w:szCs w:val="18"/>
                <w:lang w:val="en-GB"/>
              </w:rPr>
              <w:t>18-65 years of age at presentation</w:t>
            </w:r>
          </w:p>
        </w:tc>
        <w:tc>
          <w:tcPr>
            <w:tcW w:w="4536" w:type="dxa"/>
          </w:tcPr>
          <w:p w14:paraId="21E58C03" w14:textId="77777777" w:rsidR="000B4DCF" w:rsidRPr="000B4DCF" w:rsidRDefault="000B4DCF" w:rsidP="00B441BE">
            <w:pPr>
              <w:spacing w:after="100" w:afterAutospacing="1"/>
              <w:ind w:right="51"/>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Exclusion criteria</w:t>
            </w:r>
          </w:p>
        </w:tc>
      </w:tr>
      <w:tr w:rsidR="000B4DCF" w:rsidRPr="00056148" w14:paraId="35F2F6AA" w14:textId="77777777" w:rsidTr="0083043C">
        <w:trPr>
          <w:divId w:val="1966427447"/>
        </w:trPr>
        <w:tc>
          <w:tcPr>
            <w:tcW w:w="4541" w:type="dxa"/>
          </w:tcPr>
          <w:p w14:paraId="7006D999" w14:textId="77777777" w:rsidR="000B4DCF" w:rsidRPr="000B4DCF" w:rsidRDefault="000B4DCF" w:rsidP="00B441BE">
            <w:pPr>
              <w:spacing w:after="100" w:afterAutospacing="1"/>
              <w:ind w:right="51"/>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lastRenderedPageBreak/>
              <w:t xml:space="preserve">Initial medial clear space (MCS)&gt;=7mm or weightbearing x-ray evaluated as unstable (side to side difference &gt;1 mm </w:t>
            </w:r>
            <w:r w:rsidRPr="000B4DCF">
              <w:rPr>
                <w:rFonts w:ascii="Times New Roman" w:eastAsia="Arial" w:hAnsi="Times New Roman" w:cs="Times New Roman"/>
                <w:b/>
                <w:bCs/>
                <w:i/>
                <w:iCs/>
                <w:sz w:val="18"/>
                <w:szCs w:val="18"/>
                <w:lang w:val="en-GB"/>
              </w:rPr>
              <w:t>or</w:t>
            </w:r>
          </w:p>
        </w:tc>
        <w:tc>
          <w:tcPr>
            <w:tcW w:w="4536" w:type="dxa"/>
          </w:tcPr>
          <w:p w14:paraId="51D6BBE4" w14:textId="77777777" w:rsidR="000B4DCF" w:rsidRPr="000B4DCF" w:rsidRDefault="000B4DCF" w:rsidP="00B441BE">
            <w:pPr>
              <w:spacing w:after="3"/>
              <w:ind w:right="52"/>
              <w:jc w:val="both"/>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 xml:space="preserve">Assumed not compliant (drug use, cognitive- and/or psychiatric disorders). </w:t>
            </w:r>
          </w:p>
        </w:tc>
      </w:tr>
      <w:tr w:rsidR="000B4DCF" w:rsidRPr="00B441BE" w14:paraId="10271E0E" w14:textId="77777777" w:rsidTr="0083043C">
        <w:trPr>
          <w:divId w:val="1966427447"/>
        </w:trPr>
        <w:tc>
          <w:tcPr>
            <w:tcW w:w="4541" w:type="dxa"/>
          </w:tcPr>
          <w:p w14:paraId="44EDB39F" w14:textId="77777777" w:rsidR="000B4DCF" w:rsidRPr="000B4DCF" w:rsidRDefault="000B4DCF" w:rsidP="00B441BE">
            <w:pPr>
              <w:spacing w:after="3"/>
              <w:ind w:right="52"/>
              <w:jc w:val="both"/>
              <w:rPr>
                <w:rFonts w:ascii="Times New Roman" w:hAnsi="Times New Roman" w:cs="Times New Roman"/>
                <w:sz w:val="18"/>
                <w:szCs w:val="18"/>
                <w:lang w:val="en-GB"/>
              </w:rPr>
            </w:pPr>
            <w:r w:rsidRPr="000B4DCF">
              <w:rPr>
                <w:rFonts w:ascii="Times New Roman" w:eastAsia="Arial" w:hAnsi="Times New Roman" w:cs="Times New Roman"/>
                <w:sz w:val="18"/>
                <w:szCs w:val="18"/>
                <w:lang w:val="en-GB"/>
              </w:rPr>
              <w:t>Fracture dislocation (</w:t>
            </w:r>
            <w:r w:rsidRPr="000B4DCF">
              <w:rPr>
                <w:rFonts w:ascii="Times New Roman" w:eastAsia="Arial" w:hAnsi="Times New Roman" w:cs="Times New Roman"/>
                <w:i/>
                <w:iCs/>
                <w:sz w:val="18"/>
                <w:szCs w:val="18"/>
                <w:lang w:val="en-GB"/>
              </w:rPr>
              <w:t>when doubt about state prior to reposition shall WBXR be performed</w:t>
            </w:r>
            <w:r w:rsidRPr="000B4DCF">
              <w:rPr>
                <w:rFonts w:ascii="Times New Roman" w:eastAsia="Arial" w:hAnsi="Times New Roman" w:cs="Times New Roman"/>
                <w:sz w:val="18"/>
                <w:szCs w:val="18"/>
                <w:lang w:val="en-GB"/>
              </w:rPr>
              <w:t>)</w:t>
            </w:r>
          </w:p>
        </w:tc>
        <w:tc>
          <w:tcPr>
            <w:tcW w:w="4536" w:type="dxa"/>
          </w:tcPr>
          <w:p w14:paraId="6E10A8C2" w14:textId="2FD725D0" w:rsidR="000B4DCF" w:rsidRPr="000B4DCF" w:rsidRDefault="000B4DCF" w:rsidP="00B441BE">
            <w:pPr>
              <w:spacing w:after="3"/>
              <w:ind w:right="52"/>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Insufficient language skills (Norwegian</w:t>
            </w:r>
            <w:r w:rsidR="00B441BE">
              <w:rPr>
                <w:rFonts w:ascii="Times New Roman" w:eastAsia="Arial" w:hAnsi="Times New Roman" w:cs="Times New Roman"/>
                <w:sz w:val="18"/>
                <w:szCs w:val="18"/>
                <w:lang w:val="en-GB"/>
              </w:rPr>
              <w:t>/other Scandinavian</w:t>
            </w:r>
            <w:r w:rsidRPr="000B4DCF">
              <w:rPr>
                <w:rFonts w:ascii="Times New Roman" w:eastAsia="Arial" w:hAnsi="Times New Roman" w:cs="Times New Roman"/>
                <w:sz w:val="18"/>
                <w:szCs w:val="18"/>
                <w:lang w:val="en-GB"/>
              </w:rPr>
              <w:t xml:space="preserve">) </w:t>
            </w:r>
          </w:p>
        </w:tc>
      </w:tr>
      <w:tr w:rsidR="000B4DCF" w:rsidRPr="00056148" w14:paraId="6D9CCA1F" w14:textId="77777777" w:rsidTr="0083043C">
        <w:trPr>
          <w:divId w:val="1966427447"/>
        </w:trPr>
        <w:tc>
          <w:tcPr>
            <w:tcW w:w="4541" w:type="dxa"/>
          </w:tcPr>
          <w:p w14:paraId="47B8B110" w14:textId="77777777" w:rsidR="000B4DCF" w:rsidRPr="000B4DCF" w:rsidRDefault="000B4DCF" w:rsidP="00B441BE">
            <w:pPr>
              <w:ind w:right="51"/>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Pre-injury walking ability without aids</w:t>
            </w:r>
          </w:p>
        </w:tc>
        <w:tc>
          <w:tcPr>
            <w:tcW w:w="4536" w:type="dxa"/>
          </w:tcPr>
          <w:p w14:paraId="136D9293" w14:textId="77777777" w:rsidR="000B4DCF" w:rsidRPr="000B4DCF" w:rsidRDefault="000B4DCF" w:rsidP="00B441BE">
            <w:pPr>
              <w:ind w:right="52"/>
              <w:jc w:val="both"/>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 xml:space="preserve">Multi-trauma and pathologic fracture </w:t>
            </w:r>
          </w:p>
        </w:tc>
      </w:tr>
      <w:tr w:rsidR="000B4DCF" w:rsidRPr="00056148" w14:paraId="2C5DCA31" w14:textId="77777777" w:rsidTr="0083043C">
        <w:trPr>
          <w:divId w:val="1966427447"/>
          <w:trHeight w:val="384"/>
        </w:trPr>
        <w:tc>
          <w:tcPr>
            <w:tcW w:w="4541" w:type="dxa"/>
          </w:tcPr>
          <w:p w14:paraId="3302F45C" w14:textId="77777777" w:rsidR="000B4DCF" w:rsidRPr="000B4DCF" w:rsidRDefault="000B4DCF" w:rsidP="00B441BE">
            <w:pPr>
              <w:ind w:right="51"/>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Posterior malleolus fragment Mason &amp; Molloy &lt;2 or no posterior malleolus fragment</w:t>
            </w:r>
            <w:hyperlink r:id="rId39" w:history="1">
              <w:r w:rsidRPr="000B4DCF">
                <w:rPr>
                  <w:rFonts w:ascii="Times New Roman" w:eastAsia="Times New Roman" w:hAnsi="Times New Roman" w:cs="Times New Roman"/>
                  <w:sz w:val="18"/>
                  <w:vertAlign w:val="superscript"/>
                  <w:lang w:val="en-GB"/>
                </w:rPr>
                <w:t>25</w:t>
              </w:r>
            </w:hyperlink>
          </w:p>
        </w:tc>
        <w:tc>
          <w:tcPr>
            <w:tcW w:w="4536" w:type="dxa"/>
          </w:tcPr>
          <w:p w14:paraId="136532E2" w14:textId="77777777" w:rsidR="000B4DCF" w:rsidRPr="000B4DCF" w:rsidRDefault="000B4DCF" w:rsidP="00B441BE">
            <w:pPr>
              <w:spacing w:after="3"/>
              <w:ind w:right="52"/>
              <w:jc w:val="both"/>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 xml:space="preserve">Neuropathies and symptomatic generalized joint disease such as Rheumatoid Arthritis </w:t>
            </w:r>
          </w:p>
        </w:tc>
      </w:tr>
      <w:tr w:rsidR="000B4DCF" w:rsidRPr="00056148" w14:paraId="7CAA9D07" w14:textId="77777777" w:rsidTr="0083043C">
        <w:trPr>
          <w:divId w:val="1966427447"/>
        </w:trPr>
        <w:tc>
          <w:tcPr>
            <w:tcW w:w="4541" w:type="dxa"/>
          </w:tcPr>
          <w:p w14:paraId="25227539" w14:textId="77777777" w:rsidR="000B4DCF" w:rsidRPr="000B4DCF" w:rsidRDefault="000B4DCF" w:rsidP="00B441BE">
            <w:pPr>
              <w:ind w:right="51"/>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Available for surgery within 2 weeks after injury and available for follow up</w:t>
            </w:r>
          </w:p>
        </w:tc>
        <w:tc>
          <w:tcPr>
            <w:tcW w:w="4536" w:type="dxa"/>
          </w:tcPr>
          <w:p w14:paraId="35F7C0C2" w14:textId="77777777" w:rsidR="000B4DCF" w:rsidRPr="000B4DCF" w:rsidRDefault="000B4DCF" w:rsidP="00B441BE">
            <w:pPr>
              <w:ind w:right="52"/>
              <w:jc w:val="both"/>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Previous history of ipsilateral former ankle surgery or fracture or other injury with sequela of the lower limb</w:t>
            </w:r>
          </w:p>
        </w:tc>
      </w:tr>
      <w:tr w:rsidR="000B4DCF" w:rsidRPr="00056148" w14:paraId="4E1AB78F" w14:textId="77777777" w:rsidTr="0083043C">
        <w:trPr>
          <w:divId w:val="1966427447"/>
        </w:trPr>
        <w:tc>
          <w:tcPr>
            <w:tcW w:w="4541" w:type="dxa"/>
          </w:tcPr>
          <w:p w14:paraId="38570B7B" w14:textId="77777777" w:rsidR="000B4DCF" w:rsidRPr="000B4DCF" w:rsidRDefault="000B4DCF" w:rsidP="00B441BE">
            <w:pPr>
              <w:ind w:right="51"/>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No syndesmotic screw or suture button planned prior to the surgical procedure, only on demand after peroperative assessment</w:t>
            </w:r>
          </w:p>
        </w:tc>
        <w:tc>
          <w:tcPr>
            <w:tcW w:w="4536" w:type="dxa"/>
          </w:tcPr>
          <w:p w14:paraId="7E6043EC" w14:textId="77777777" w:rsidR="000B4DCF" w:rsidRPr="000B4DCF" w:rsidRDefault="000B4DCF" w:rsidP="00B441BE">
            <w:pPr>
              <w:ind w:right="52"/>
              <w:jc w:val="both"/>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Open fx Gustilo-Anderson II or more</w:t>
            </w:r>
            <w:hyperlink r:id="rId40" w:history="1">
              <w:r w:rsidRPr="000B4DCF">
                <w:rPr>
                  <w:rFonts w:ascii="Times New Roman" w:eastAsia="Times New Roman" w:hAnsi="Times New Roman" w:cs="Times New Roman"/>
                  <w:sz w:val="18"/>
                  <w:vertAlign w:val="superscript"/>
                  <w:lang w:val="en-GB"/>
                </w:rPr>
                <w:t>17</w:t>
              </w:r>
            </w:hyperlink>
            <w:r w:rsidRPr="000B4DCF">
              <w:rPr>
                <w:rFonts w:ascii="Times New Roman" w:eastAsia="Times New Roman" w:hAnsi="Times New Roman" w:cs="Times New Roman"/>
                <w:sz w:val="18"/>
                <w:szCs w:val="18"/>
                <w:vertAlign w:val="superscript"/>
                <w:lang w:val="en-GB"/>
              </w:rPr>
              <w:t xml:space="preserve"> </w:t>
            </w:r>
            <w:r w:rsidRPr="000B4DCF">
              <w:rPr>
                <w:rFonts w:ascii="Times New Roman" w:eastAsia="Arial" w:hAnsi="Times New Roman" w:cs="Times New Roman"/>
                <w:sz w:val="18"/>
                <w:szCs w:val="18"/>
                <w:lang w:val="en-GB"/>
              </w:rPr>
              <w:t xml:space="preserve">or other medial soft tissue problem considerably increasing risk of additional medial approach to the ankle. </w:t>
            </w:r>
          </w:p>
        </w:tc>
      </w:tr>
      <w:tr w:rsidR="000B4DCF" w:rsidRPr="00056148" w14:paraId="6BDA0F50" w14:textId="77777777" w:rsidTr="0083043C">
        <w:trPr>
          <w:divId w:val="1966427447"/>
        </w:trPr>
        <w:tc>
          <w:tcPr>
            <w:tcW w:w="4541" w:type="dxa"/>
          </w:tcPr>
          <w:p w14:paraId="7200C87B" w14:textId="77777777" w:rsidR="000B4DCF" w:rsidRPr="000B4DCF" w:rsidRDefault="000B4DCF" w:rsidP="00B441BE">
            <w:pPr>
              <w:ind w:right="51"/>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No other more severe condition in the same extremity</w:t>
            </w:r>
          </w:p>
        </w:tc>
        <w:tc>
          <w:tcPr>
            <w:tcW w:w="4536" w:type="dxa"/>
          </w:tcPr>
          <w:p w14:paraId="2318073A" w14:textId="77777777" w:rsidR="000B4DCF" w:rsidRPr="000B4DCF" w:rsidRDefault="000B4DCF" w:rsidP="00B441BE">
            <w:pPr>
              <w:spacing w:after="3"/>
              <w:ind w:right="52"/>
              <w:jc w:val="both"/>
              <w:rPr>
                <w:rFonts w:ascii="Times New Roman" w:eastAsia="Arial" w:hAnsi="Times New Roman" w:cs="Times New Roman"/>
                <w:sz w:val="18"/>
                <w:szCs w:val="18"/>
                <w:lang w:val="en-GB"/>
              </w:rPr>
            </w:pPr>
          </w:p>
        </w:tc>
      </w:tr>
      <w:bookmarkEnd w:id="1"/>
    </w:tbl>
    <w:p w14:paraId="278A68B3"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bCs/>
          <w:lang w:val="en-GB"/>
        </w:rPr>
      </w:pPr>
    </w:p>
    <w:p w14:paraId="03DF5F97" w14:textId="77777777" w:rsidR="000B4DCF" w:rsidRPr="000B4DCF" w:rsidRDefault="000B4DCF" w:rsidP="000B4DCF">
      <w:pPr>
        <w:spacing w:after="3" w:line="480" w:lineRule="auto"/>
        <w:ind w:left="-5" w:right="52" w:hanging="10"/>
        <w:divId w:val="1966427447"/>
        <w:rPr>
          <w:rFonts w:ascii="Times New Roman" w:eastAsia="Arial" w:hAnsi="Times New Roman" w:cs="Times New Roman"/>
          <w:lang w:val="en-GB"/>
        </w:rPr>
      </w:pPr>
      <w:r w:rsidRPr="000B4DCF">
        <w:rPr>
          <w:rFonts w:ascii="Times New Roman" w:eastAsia="Arial" w:hAnsi="Times New Roman" w:cs="Times New Roman"/>
          <w:b/>
          <w:bCs/>
          <w:lang w:val="en-GB"/>
        </w:rPr>
        <w:t>Primary outcome</w:t>
      </w:r>
      <w:r w:rsidRPr="000B4DCF">
        <w:rPr>
          <w:rFonts w:ascii="Times New Roman" w:eastAsia="Arial" w:hAnsi="Times New Roman" w:cs="Times New Roman"/>
          <w:lang w:val="en-GB"/>
        </w:rPr>
        <w:t>: Patient-reported function in OMAS score after lateral malleolar plating only versus additional deltoid ligament suture at 1 and 2 years. Results at 12 weeks will also be reported.</w:t>
      </w:r>
      <w:r w:rsidRPr="000B4DCF">
        <w:rPr>
          <w:rFonts w:ascii="Times New Roman" w:eastAsia="Arial" w:hAnsi="Times New Roman" w:cs="Times New Roman"/>
          <w:lang w:val="en-GB"/>
        </w:rPr>
        <w:br/>
      </w:r>
      <w:r w:rsidRPr="000B4DCF">
        <w:rPr>
          <w:rFonts w:ascii="Times New Roman" w:eastAsia="Arial" w:hAnsi="Times New Roman" w:cs="Times New Roman"/>
          <w:b/>
          <w:bCs/>
          <w:lang w:val="en-GB"/>
        </w:rPr>
        <w:t>Secondary outcomes</w:t>
      </w:r>
      <w:r w:rsidRPr="000B4DCF">
        <w:rPr>
          <w:rFonts w:ascii="Times New Roman" w:eastAsia="Arial" w:hAnsi="Times New Roman" w:cs="Times New Roman"/>
          <w:lang w:val="en-GB"/>
        </w:rPr>
        <w:t xml:space="preserve">: </w:t>
      </w:r>
      <w:r w:rsidRPr="000B4DCF">
        <w:rPr>
          <w:rFonts w:ascii="Times New Roman" w:eastAsia="Arial" w:hAnsi="Times New Roman" w:cs="Times New Roman"/>
          <w:lang w:val="en-GB"/>
        </w:rPr>
        <w:br/>
        <w:t xml:space="preserve">-Infection, reoperation and other major adverse events shall be registered and compared between groups. </w:t>
      </w:r>
    </w:p>
    <w:p w14:paraId="2B62DF0D" w14:textId="77777777" w:rsidR="000B4DCF" w:rsidRPr="000B4DCF" w:rsidRDefault="000B4DCF" w:rsidP="000B4DCF">
      <w:pPr>
        <w:spacing w:after="3" w:line="480" w:lineRule="auto"/>
        <w:ind w:left="-5" w:right="52" w:hanging="10"/>
        <w:divId w:val="1966427447"/>
        <w:rPr>
          <w:rFonts w:ascii="Times New Roman" w:hAnsi="Times New Roman" w:cs="Times New Roman"/>
          <w:lang w:val="en-GB"/>
        </w:rPr>
      </w:pPr>
      <w:r w:rsidRPr="000B4DCF">
        <w:rPr>
          <w:rFonts w:ascii="Times New Roman" w:eastAsia="Arial" w:hAnsi="Times New Roman" w:cs="Times New Roman"/>
          <w:lang w:val="en-GB"/>
        </w:rPr>
        <w:t xml:space="preserve">-Difference in medial clear space on WBXRs or gravity stress images after surgery with or without deltoid ligament repair. </w:t>
      </w:r>
      <w:r w:rsidRPr="000B4DCF">
        <w:rPr>
          <w:rFonts w:ascii="Times New Roman" w:hAnsi="Times New Roman" w:cs="Times New Roman"/>
          <w:color w:val="000000" w:themeColor="text1"/>
          <w:lang w:val="en-GB"/>
        </w:rPr>
        <w:t>Sectra Picture Archiving and Communications System (Sectra AB, Linköping, Sweden) will be used for radiographic measurements.</w:t>
      </w:r>
    </w:p>
    <w:p w14:paraId="0B13BC3C" w14:textId="77777777" w:rsidR="000B4DCF" w:rsidRPr="000B4DCF" w:rsidRDefault="000B4DCF" w:rsidP="000B4DCF">
      <w:pPr>
        <w:spacing w:line="480" w:lineRule="auto"/>
        <w:ind w:left="-5" w:right="51" w:hanging="10"/>
        <w:divId w:val="1966427447"/>
        <w:rPr>
          <w:rFonts w:ascii="Times New Roman" w:eastAsia="Arial" w:hAnsi="Times New Roman" w:cs="Times New Roman"/>
          <w:lang w:val="en-GB"/>
        </w:rPr>
      </w:pPr>
      <w:r w:rsidRPr="000B4DCF">
        <w:rPr>
          <w:rFonts w:ascii="Times New Roman" w:eastAsia="Arial" w:hAnsi="Times New Roman" w:cs="Times New Roman"/>
          <w:lang w:val="en-GB"/>
        </w:rPr>
        <w:t>-Signs of post-fracture arthritis is another important outcome, and will be reported according to Kellgren Lawrence Scale</w:t>
      </w:r>
      <w:hyperlink r:id="rId41" w:history="1">
        <w:r w:rsidRPr="000B4DCF">
          <w:rPr>
            <w:rFonts w:ascii="Times New Roman" w:eastAsia="Times New Roman" w:hAnsi="Times New Roman" w:cs="Times New Roman"/>
            <w:vertAlign w:val="superscript"/>
            <w:lang w:val="en-GB"/>
          </w:rPr>
          <w:t>22</w:t>
        </w:r>
      </w:hyperlink>
      <w:r w:rsidRPr="000B4DCF">
        <w:rPr>
          <w:rFonts w:ascii="Times New Roman" w:eastAsia="Arial" w:hAnsi="Times New Roman" w:cs="Times New Roman"/>
          <w:lang w:val="en-GB"/>
        </w:rPr>
        <w:t xml:space="preserve">. </w:t>
      </w:r>
    </w:p>
    <w:p w14:paraId="0F28FA5B" w14:textId="77777777" w:rsidR="000B4DCF" w:rsidRPr="000B4DCF" w:rsidRDefault="000B4DCF" w:rsidP="000B4DCF">
      <w:pPr>
        <w:spacing w:after="153" w:line="480" w:lineRule="auto"/>
        <w:ind w:right="50"/>
        <w:divId w:val="1966427447"/>
        <w:rPr>
          <w:rFonts w:ascii="Times New Roman" w:eastAsia="Arial" w:hAnsi="Times New Roman" w:cs="Times New Roman"/>
          <w:lang w:val="en-GB"/>
        </w:rPr>
      </w:pPr>
      <w:r w:rsidRPr="000B4DCF">
        <w:rPr>
          <w:rFonts w:ascii="Times New Roman" w:eastAsia="Arial" w:hAnsi="Times New Roman" w:cs="Times New Roman"/>
          <w:lang w:val="en-GB"/>
        </w:rPr>
        <w:t>-Function reported by Ankle Fracture Outcome of Rehabilitation Measure (A-FORM) Self-Reported Foot and Ankle Score (SEFAS)</w:t>
      </w:r>
      <w:r>
        <w:rPr>
          <w:rFonts w:ascii="Times New Roman" w:eastAsia="Arial" w:hAnsi="Times New Roman" w:cs="Times New Roman"/>
          <w:lang w:val="en-GB"/>
        </w:rPr>
        <w:t>,</w:t>
      </w:r>
      <w:hyperlink r:id="rId42" w:history="1">
        <w:r w:rsidRPr="000B4DCF">
          <w:rPr>
            <w:rFonts w:ascii="Times New Roman" w:eastAsia="Times New Roman" w:hAnsi="Times New Roman" w:cs="Times New Roman"/>
            <w:vertAlign w:val="superscript"/>
            <w:lang w:val="en-GB"/>
          </w:rPr>
          <w:t>7,8,12,30</w:t>
        </w:r>
      </w:hyperlink>
      <w:r w:rsidRPr="000B4DCF">
        <w:rPr>
          <w:rFonts w:ascii="Times New Roman" w:eastAsia="Arial" w:hAnsi="Times New Roman" w:cs="Times New Roman"/>
          <w:lang w:val="en-GB"/>
        </w:rPr>
        <w:t xml:space="preserve"> </w:t>
      </w:r>
      <w:r w:rsidRPr="000B4DCF">
        <w:rPr>
          <w:rFonts w:ascii="Times New Roman" w:hAnsi="Times New Roman" w:cs="Times New Roman"/>
          <w:color w:val="212121"/>
          <w:shd w:val="clear" w:color="auto" w:fill="FFFFFF"/>
          <w:lang w:val="en-GB"/>
        </w:rPr>
        <w:t>Patient-Reported Outcomes Measurement Information System (PROMIS)</w:t>
      </w:r>
      <w:r>
        <w:rPr>
          <w:rFonts w:ascii="Times New Roman" w:hAnsi="Times New Roman" w:cs="Times New Roman"/>
          <w:color w:val="212121"/>
          <w:shd w:val="clear" w:color="auto" w:fill="FFFFFF"/>
          <w:lang w:val="en-GB"/>
        </w:rPr>
        <w:t>,</w:t>
      </w:r>
      <w:hyperlink r:id="rId43" w:history="1">
        <w:r w:rsidRPr="000B4DCF">
          <w:rPr>
            <w:rFonts w:ascii="Times New Roman" w:eastAsia="Times New Roman" w:hAnsi="Times New Roman" w:cs="Times New Roman"/>
            <w:vertAlign w:val="superscript"/>
            <w:lang w:val="en-GB"/>
          </w:rPr>
          <w:t>2</w:t>
        </w:r>
      </w:hyperlink>
      <w:r w:rsidRPr="000B4DCF">
        <w:rPr>
          <w:rFonts w:ascii="Times New Roman" w:eastAsia="Arial" w:hAnsi="Times New Roman" w:cs="Times New Roman"/>
          <w:lang w:val="en-GB"/>
        </w:rPr>
        <w:t xml:space="preserve"> Visual Analogue Scale (VAS) pain and Euroquol EQ-5D 5L</w:t>
      </w:r>
      <w:r>
        <w:rPr>
          <w:rFonts w:ascii="Times New Roman" w:eastAsia="Arial" w:hAnsi="Times New Roman" w:cs="Times New Roman"/>
          <w:lang w:val="en-GB"/>
        </w:rPr>
        <w:t>.</w:t>
      </w:r>
      <w:hyperlink r:id="rId44" w:history="1">
        <w:r w:rsidRPr="000B4DCF">
          <w:rPr>
            <w:rFonts w:ascii="Times New Roman" w:eastAsia="Times New Roman" w:hAnsi="Times New Roman" w:cs="Times New Roman"/>
            <w:vertAlign w:val="superscript"/>
            <w:lang w:val="en-GB"/>
          </w:rPr>
          <w:t>35</w:t>
        </w:r>
      </w:hyperlink>
      <w:r w:rsidRPr="000B4DCF">
        <w:rPr>
          <w:rFonts w:ascii="Times New Roman" w:eastAsia="Arial" w:hAnsi="Times New Roman" w:cs="Times New Roman"/>
          <w:lang w:val="en-GB"/>
        </w:rPr>
        <w:t xml:space="preserve"> The former is generic; referring to the individuals general health, OMAS and the other named Patient Reported Outcome Measures (PROMs) are specific to the anatomic region. (Table 3)</w:t>
      </w:r>
    </w:p>
    <w:p w14:paraId="32191D25" w14:textId="77777777" w:rsidR="000B4DCF" w:rsidRPr="000B4DCF" w:rsidRDefault="000B4DCF" w:rsidP="000B4DCF">
      <w:pPr>
        <w:pStyle w:val="NoSpacing"/>
        <w:spacing w:line="480" w:lineRule="auto"/>
        <w:divId w:val="1966427447"/>
        <w:rPr>
          <w:rFonts w:ascii="Times New Roman" w:hAnsi="Times New Roman" w:cs="Times New Roman"/>
          <w:b/>
          <w:bCs/>
          <w:sz w:val="18"/>
          <w:szCs w:val="18"/>
          <w:lang w:val="en-GB"/>
        </w:rPr>
      </w:pPr>
      <w:r w:rsidRPr="000B4DCF">
        <w:rPr>
          <w:rFonts w:ascii="Times New Roman" w:hAnsi="Times New Roman" w:cs="Times New Roman"/>
          <w:b/>
          <w:bCs/>
          <w:sz w:val="18"/>
          <w:szCs w:val="18"/>
          <w:lang w:val="en-GB"/>
        </w:rPr>
        <w:t>Table 3</w:t>
      </w:r>
    </w:p>
    <w:tbl>
      <w:tblPr>
        <w:tblStyle w:val="TableGrid0"/>
        <w:tblW w:w="0" w:type="auto"/>
        <w:tblLook w:val="04A0" w:firstRow="1" w:lastRow="0" w:firstColumn="1" w:lastColumn="0" w:noHBand="0" w:noVBand="1"/>
      </w:tblPr>
      <w:tblGrid>
        <w:gridCol w:w="1833"/>
        <w:gridCol w:w="1291"/>
        <w:gridCol w:w="1651"/>
        <w:gridCol w:w="1757"/>
        <w:gridCol w:w="1770"/>
      </w:tblGrid>
      <w:tr w:rsidR="000B4DCF" w:rsidRPr="000B4DCF" w14:paraId="28123626" w14:textId="77777777" w:rsidTr="00E27C88">
        <w:trPr>
          <w:divId w:val="1966427447"/>
        </w:trPr>
        <w:tc>
          <w:tcPr>
            <w:tcW w:w="1925" w:type="dxa"/>
          </w:tcPr>
          <w:p w14:paraId="087FF51A" w14:textId="77777777" w:rsidR="000B4DCF" w:rsidRPr="000B4DCF" w:rsidRDefault="000B4DCF" w:rsidP="000B4DCF">
            <w:pPr>
              <w:spacing w:after="153" w:line="480" w:lineRule="auto"/>
              <w:ind w:right="50"/>
              <w:jc w:val="center"/>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Type of PROM</w:t>
            </w:r>
            <w:r w:rsidRPr="000B4DCF">
              <w:rPr>
                <w:rFonts w:ascii="Times New Roman" w:eastAsia="Arial" w:hAnsi="Times New Roman" w:cs="Times New Roman"/>
                <w:b/>
                <w:bCs/>
                <w:sz w:val="18"/>
                <w:szCs w:val="18"/>
                <w:lang w:val="en-GB"/>
              </w:rPr>
              <w:br/>
              <w:t>(scale)</w:t>
            </w:r>
          </w:p>
        </w:tc>
        <w:tc>
          <w:tcPr>
            <w:tcW w:w="1331" w:type="dxa"/>
            <w:tcBorders>
              <w:right w:val="nil"/>
            </w:tcBorders>
          </w:tcPr>
          <w:p w14:paraId="2FEAA610" w14:textId="77777777" w:rsidR="000B4DCF" w:rsidRPr="000B4DCF" w:rsidRDefault="000B4DCF" w:rsidP="000B4DCF">
            <w:pPr>
              <w:spacing w:after="153" w:line="480" w:lineRule="auto"/>
              <w:ind w:right="50"/>
              <w:jc w:val="center"/>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Licence</w:t>
            </w:r>
            <w:r w:rsidRPr="000B4DCF">
              <w:rPr>
                <w:rFonts w:ascii="Times New Roman" w:eastAsia="Arial" w:hAnsi="Times New Roman" w:cs="Times New Roman"/>
                <w:b/>
                <w:bCs/>
                <w:sz w:val="18"/>
                <w:szCs w:val="18"/>
                <w:lang w:val="en-GB"/>
              </w:rPr>
              <w:br/>
              <w:t>Y/N</w:t>
            </w:r>
          </w:p>
        </w:tc>
        <w:tc>
          <w:tcPr>
            <w:tcW w:w="1701" w:type="dxa"/>
            <w:tcBorders>
              <w:left w:val="nil"/>
            </w:tcBorders>
          </w:tcPr>
          <w:p w14:paraId="57F16F74" w14:textId="77777777" w:rsidR="000B4DCF" w:rsidRPr="000B4DCF" w:rsidRDefault="000B4DCF" w:rsidP="000B4DCF">
            <w:pPr>
              <w:spacing w:after="153" w:line="480" w:lineRule="auto"/>
              <w:ind w:right="50"/>
              <w:jc w:val="center"/>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#items</w:t>
            </w:r>
            <w:r w:rsidRPr="000B4DCF">
              <w:rPr>
                <w:rFonts w:ascii="Times New Roman" w:eastAsia="Arial" w:hAnsi="Times New Roman" w:cs="Times New Roman"/>
                <w:b/>
                <w:bCs/>
                <w:sz w:val="18"/>
                <w:szCs w:val="18"/>
                <w:lang w:val="en-GB"/>
              </w:rPr>
              <w:br/>
              <w:t>(questions)</w:t>
            </w:r>
          </w:p>
        </w:tc>
        <w:tc>
          <w:tcPr>
            <w:tcW w:w="1842" w:type="dxa"/>
          </w:tcPr>
          <w:p w14:paraId="644DA575" w14:textId="77777777" w:rsidR="000B4DCF" w:rsidRPr="000B4DCF" w:rsidRDefault="000B4DCF" w:rsidP="000B4DCF">
            <w:pPr>
              <w:spacing w:after="153" w:line="480" w:lineRule="auto"/>
              <w:ind w:right="50"/>
              <w:jc w:val="center"/>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Foot (F) Ankle (A)</w:t>
            </w:r>
            <w:r w:rsidRPr="000B4DCF">
              <w:rPr>
                <w:rFonts w:ascii="Times New Roman" w:eastAsia="Arial" w:hAnsi="Times New Roman" w:cs="Times New Roman"/>
                <w:b/>
                <w:bCs/>
                <w:sz w:val="18"/>
                <w:szCs w:val="18"/>
                <w:lang w:val="en-GB"/>
              </w:rPr>
              <w:br/>
              <w:t>or general (G)</w:t>
            </w:r>
          </w:p>
        </w:tc>
        <w:tc>
          <w:tcPr>
            <w:tcW w:w="1843" w:type="dxa"/>
          </w:tcPr>
          <w:p w14:paraId="11D15E10" w14:textId="77777777" w:rsidR="000B4DCF" w:rsidRPr="000B4DCF" w:rsidRDefault="000B4DCF" w:rsidP="000B4DCF">
            <w:pPr>
              <w:spacing w:after="153" w:line="480" w:lineRule="auto"/>
              <w:ind w:right="50"/>
              <w:jc w:val="center"/>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Origin, comment</w:t>
            </w:r>
          </w:p>
        </w:tc>
      </w:tr>
      <w:tr w:rsidR="000B4DCF" w:rsidRPr="000B4DCF" w14:paraId="1A98A380" w14:textId="77777777" w:rsidTr="00E27C88">
        <w:trPr>
          <w:divId w:val="1966427447"/>
          <w:trHeight w:val="444"/>
        </w:trPr>
        <w:tc>
          <w:tcPr>
            <w:tcW w:w="1925" w:type="dxa"/>
          </w:tcPr>
          <w:p w14:paraId="5DB41B55"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b/>
                <w:bCs/>
                <w:sz w:val="18"/>
                <w:szCs w:val="18"/>
                <w:lang w:val="en-GB"/>
              </w:rPr>
              <w:lastRenderedPageBreak/>
              <w:t>OMAS</w:t>
            </w:r>
            <w:r w:rsidRPr="000B4DCF">
              <w:rPr>
                <w:rFonts w:ascii="Times New Roman" w:eastAsia="Arial" w:hAnsi="Times New Roman" w:cs="Times New Roman"/>
                <w:b/>
                <w:bCs/>
                <w:sz w:val="18"/>
                <w:szCs w:val="18"/>
                <w:lang w:val="en-GB"/>
              </w:rPr>
              <w:br/>
            </w:r>
            <w:r w:rsidRPr="000B4DCF">
              <w:rPr>
                <w:rFonts w:ascii="Times New Roman" w:eastAsia="Arial" w:hAnsi="Times New Roman" w:cs="Times New Roman"/>
                <w:sz w:val="18"/>
                <w:szCs w:val="18"/>
                <w:lang w:val="en-GB"/>
              </w:rPr>
              <w:t>(0-100)</w:t>
            </w:r>
          </w:p>
        </w:tc>
        <w:tc>
          <w:tcPr>
            <w:tcW w:w="1331" w:type="dxa"/>
            <w:tcBorders>
              <w:right w:val="nil"/>
            </w:tcBorders>
          </w:tcPr>
          <w:p w14:paraId="61896950"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N</w:t>
            </w:r>
          </w:p>
        </w:tc>
        <w:tc>
          <w:tcPr>
            <w:tcW w:w="1701" w:type="dxa"/>
            <w:tcBorders>
              <w:left w:val="nil"/>
            </w:tcBorders>
          </w:tcPr>
          <w:p w14:paraId="6F9A0F4E"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9</w:t>
            </w:r>
          </w:p>
        </w:tc>
        <w:tc>
          <w:tcPr>
            <w:tcW w:w="1842" w:type="dxa"/>
          </w:tcPr>
          <w:p w14:paraId="044A1D19"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A</w:t>
            </w:r>
          </w:p>
        </w:tc>
        <w:tc>
          <w:tcPr>
            <w:tcW w:w="1843" w:type="dxa"/>
          </w:tcPr>
          <w:p w14:paraId="2A4B0201"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Most used</w:t>
            </w:r>
          </w:p>
        </w:tc>
      </w:tr>
      <w:tr w:rsidR="000B4DCF" w:rsidRPr="000B4DCF" w14:paraId="6214A8ED" w14:textId="77777777" w:rsidTr="00E27C88">
        <w:trPr>
          <w:divId w:val="1966427447"/>
        </w:trPr>
        <w:tc>
          <w:tcPr>
            <w:tcW w:w="1925" w:type="dxa"/>
          </w:tcPr>
          <w:p w14:paraId="6CC535BF"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b/>
                <w:bCs/>
                <w:sz w:val="18"/>
                <w:szCs w:val="18"/>
                <w:lang w:val="en-GB"/>
              </w:rPr>
              <w:t>SEFAS</w:t>
            </w:r>
            <w:r w:rsidRPr="000B4DCF">
              <w:rPr>
                <w:rFonts w:ascii="Times New Roman" w:eastAsia="Arial" w:hAnsi="Times New Roman" w:cs="Times New Roman"/>
                <w:b/>
                <w:bCs/>
                <w:sz w:val="18"/>
                <w:szCs w:val="18"/>
                <w:lang w:val="en-GB"/>
              </w:rPr>
              <w:br/>
            </w:r>
            <w:r w:rsidRPr="000B4DCF">
              <w:rPr>
                <w:rFonts w:ascii="Times New Roman" w:eastAsia="Arial" w:hAnsi="Times New Roman" w:cs="Times New Roman"/>
                <w:sz w:val="18"/>
                <w:szCs w:val="18"/>
                <w:lang w:val="en-GB"/>
              </w:rPr>
              <w:t>(0-48)</w:t>
            </w:r>
          </w:p>
        </w:tc>
        <w:tc>
          <w:tcPr>
            <w:tcW w:w="1331" w:type="dxa"/>
            <w:tcBorders>
              <w:right w:val="nil"/>
            </w:tcBorders>
          </w:tcPr>
          <w:p w14:paraId="64ABCED4"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N</w:t>
            </w:r>
          </w:p>
        </w:tc>
        <w:tc>
          <w:tcPr>
            <w:tcW w:w="1701" w:type="dxa"/>
            <w:tcBorders>
              <w:left w:val="nil"/>
            </w:tcBorders>
          </w:tcPr>
          <w:p w14:paraId="2E2A9154"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12</w:t>
            </w:r>
          </w:p>
        </w:tc>
        <w:tc>
          <w:tcPr>
            <w:tcW w:w="1842" w:type="dxa"/>
          </w:tcPr>
          <w:p w14:paraId="32161616"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FA</w:t>
            </w:r>
          </w:p>
        </w:tc>
        <w:tc>
          <w:tcPr>
            <w:tcW w:w="1843" w:type="dxa"/>
          </w:tcPr>
          <w:p w14:paraId="145A2A47"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Swedish ankle registry</w:t>
            </w:r>
          </w:p>
        </w:tc>
      </w:tr>
      <w:tr w:rsidR="000B4DCF" w:rsidRPr="000B4DCF" w14:paraId="1527F045" w14:textId="77777777" w:rsidTr="00E27C88">
        <w:trPr>
          <w:divId w:val="1966427447"/>
          <w:trHeight w:val="432"/>
        </w:trPr>
        <w:tc>
          <w:tcPr>
            <w:tcW w:w="1925" w:type="dxa"/>
          </w:tcPr>
          <w:p w14:paraId="4DA182B5"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b/>
                <w:bCs/>
                <w:sz w:val="18"/>
                <w:szCs w:val="18"/>
                <w:lang w:val="en-GB"/>
              </w:rPr>
              <w:t>A-FORM</w:t>
            </w:r>
            <w:r w:rsidRPr="000B4DCF">
              <w:rPr>
                <w:rFonts w:ascii="Times New Roman" w:eastAsia="Arial" w:hAnsi="Times New Roman" w:cs="Times New Roman"/>
                <w:b/>
                <w:bCs/>
                <w:sz w:val="18"/>
                <w:szCs w:val="18"/>
                <w:lang w:val="en-GB"/>
              </w:rPr>
              <w:br/>
            </w:r>
            <w:r w:rsidRPr="000B4DCF">
              <w:rPr>
                <w:rFonts w:ascii="Times New Roman" w:eastAsia="Arial" w:hAnsi="Times New Roman" w:cs="Times New Roman"/>
                <w:sz w:val="18"/>
                <w:szCs w:val="18"/>
                <w:lang w:val="en-GB"/>
              </w:rPr>
              <w:t>(0-100)</w:t>
            </w:r>
          </w:p>
        </w:tc>
        <w:tc>
          <w:tcPr>
            <w:tcW w:w="1331" w:type="dxa"/>
            <w:tcBorders>
              <w:right w:val="nil"/>
            </w:tcBorders>
          </w:tcPr>
          <w:p w14:paraId="48204833"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Y (free)</w:t>
            </w:r>
          </w:p>
        </w:tc>
        <w:tc>
          <w:tcPr>
            <w:tcW w:w="1701" w:type="dxa"/>
            <w:tcBorders>
              <w:left w:val="nil"/>
            </w:tcBorders>
          </w:tcPr>
          <w:p w14:paraId="197E9C54"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15</w:t>
            </w:r>
          </w:p>
        </w:tc>
        <w:tc>
          <w:tcPr>
            <w:tcW w:w="1842" w:type="dxa"/>
          </w:tcPr>
          <w:p w14:paraId="29400727"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A</w:t>
            </w:r>
          </w:p>
        </w:tc>
        <w:tc>
          <w:tcPr>
            <w:tcW w:w="1843" w:type="dxa"/>
          </w:tcPr>
          <w:p w14:paraId="185F2555"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Fracture specific</w:t>
            </w:r>
          </w:p>
        </w:tc>
      </w:tr>
      <w:tr w:rsidR="000B4DCF" w:rsidRPr="000B4DCF" w14:paraId="694018AF" w14:textId="77777777" w:rsidTr="00E27C88">
        <w:trPr>
          <w:divId w:val="1966427447"/>
        </w:trPr>
        <w:tc>
          <w:tcPr>
            <w:tcW w:w="1925" w:type="dxa"/>
          </w:tcPr>
          <w:p w14:paraId="383937FF" w14:textId="77777777" w:rsidR="000B4DCF" w:rsidRPr="000B4DCF" w:rsidRDefault="000B4DCF" w:rsidP="000B4DCF">
            <w:pPr>
              <w:spacing w:after="153" w:line="480" w:lineRule="auto"/>
              <w:ind w:right="50"/>
              <w:jc w:val="center"/>
              <w:rPr>
                <w:rFonts w:ascii="Times New Roman" w:eastAsia="Arial" w:hAnsi="Times New Roman" w:cs="Times New Roman"/>
                <w:b/>
                <w:bCs/>
                <w:sz w:val="18"/>
                <w:szCs w:val="18"/>
                <w:lang w:val="en-GB"/>
              </w:rPr>
            </w:pPr>
            <w:r w:rsidRPr="000B4DCF">
              <w:rPr>
                <w:rFonts w:ascii="Times New Roman" w:eastAsia="Arial" w:hAnsi="Times New Roman" w:cs="Times New Roman"/>
                <w:b/>
                <w:bCs/>
                <w:sz w:val="18"/>
                <w:szCs w:val="18"/>
                <w:lang w:val="en-GB"/>
              </w:rPr>
              <w:t>EQ-5D 5L</w:t>
            </w:r>
            <w:r w:rsidRPr="000B4DCF">
              <w:rPr>
                <w:rFonts w:ascii="Times New Roman" w:eastAsia="Arial" w:hAnsi="Times New Roman" w:cs="Times New Roman"/>
                <w:b/>
                <w:bCs/>
                <w:sz w:val="18"/>
                <w:szCs w:val="18"/>
                <w:lang w:val="en-GB"/>
              </w:rPr>
              <w:br/>
            </w:r>
            <w:r w:rsidRPr="000B4DCF">
              <w:rPr>
                <w:rFonts w:ascii="Times New Roman" w:eastAsia="Arial" w:hAnsi="Times New Roman" w:cs="Times New Roman"/>
                <w:sz w:val="18"/>
                <w:szCs w:val="18"/>
                <w:lang w:val="en-GB"/>
              </w:rPr>
              <w:t>(-0,59-1)</w:t>
            </w:r>
          </w:p>
        </w:tc>
        <w:tc>
          <w:tcPr>
            <w:tcW w:w="1331" w:type="dxa"/>
            <w:tcBorders>
              <w:right w:val="nil"/>
            </w:tcBorders>
          </w:tcPr>
          <w:p w14:paraId="0625FC92"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Y (free*)</w:t>
            </w:r>
          </w:p>
        </w:tc>
        <w:tc>
          <w:tcPr>
            <w:tcW w:w="1701" w:type="dxa"/>
            <w:tcBorders>
              <w:left w:val="nil"/>
            </w:tcBorders>
          </w:tcPr>
          <w:p w14:paraId="7A5712BA"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5+VAS health</w:t>
            </w:r>
          </w:p>
        </w:tc>
        <w:tc>
          <w:tcPr>
            <w:tcW w:w="1842" w:type="dxa"/>
          </w:tcPr>
          <w:p w14:paraId="7976516B"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G</w:t>
            </w:r>
          </w:p>
        </w:tc>
        <w:tc>
          <w:tcPr>
            <w:tcW w:w="1843" w:type="dxa"/>
          </w:tcPr>
          <w:p w14:paraId="4B1E6CC8" w14:textId="77777777" w:rsidR="000B4DCF" w:rsidRPr="000B4DCF" w:rsidRDefault="000B4DCF" w:rsidP="000B4DCF">
            <w:pPr>
              <w:spacing w:after="153" w:line="480" w:lineRule="auto"/>
              <w:ind w:right="50"/>
              <w:jc w:val="center"/>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General health</w:t>
            </w:r>
          </w:p>
        </w:tc>
      </w:tr>
    </w:tbl>
    <w:p w14:paraId="5AFFDE38" w14:textId="77777777" w:rsidR="000B4DCF" w:rsidRPr="000B4DCF" w:rsidRDefault="000B4DCF" w:rsidP="000B4DCF">
      <w:pPr>
        <w:spacing w:after="153" w:line="480" w:lineRule="auto"/>
        <w:ind w:right="50"/>
        <w:divId w:val="1966427447"/>
        <w:rPr>
          <w:rFonts w:ascii="Times New Roman" w:eastAsia="Arial" w:hAnsi="Times New Roman" w:cs="Times New Roman"/>
          <w:sz w:val="18"/>
          <w:szCs w:val="18"/>
          <w:lang w:val="en-GB"/>
        </w:rPr>
      </w:pPr>
      <w:r w:rsidRPr="000B4DCF">
        <w:rPr>
          <w:rFonts w:ascii="Times New Roman" w:eastAsia="Arial" w:hAnsi="Times New Roman" w:cs="Times New Roman"/>
          <w:sz w:val="18"/>
          <w:szCs w:val="18"/>
          <w:lang w:val="en-GB"/>
        </w:rPr>
        <w:t>Highest score is best, except from the A-FORM</w:t>
      </w:r>
    </w:p>
    <w:p w14:paraId="24FCF2B9" w14:textId="77777777" w:rsidR="000B4DCF" w:rsidRPr="000B4DCF" w:rsidRDefault="000B4DCF" w:rsidP="000B4DCF">
      <w:pPr>
        <w:spacing w:after="153" w:line="480" w:lineRule="auto"/>
        <w:ind w:right="50"/>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 xml:space="preserve">The phenomenon of </w:t>
      </w:r>
      <w:r w:rsidRPr="000B4DCF">
        <w:rPr>
          <w:rFonts w:ascii="Times New Roman" w:eastAsia="Arial" w:hAnsi="Times New Roman" w:cs="Times New Roman"/>
          <w:i/>
          <w:iCs/>
          <w:sz w:val="24"/>
          <w:szCs w:val="24"/>
          <w:lang w:val="en-GB"/>
        </w:rPr>
        <w:t>ceiling effect</w:t>
      </w:r>
      <w:r w:rsidRPr="000B4DCF">
        <w:rPr>
          <w:rFonts w:ascii="Times New Roman" w:eastAsia="Arial" w:hAnsi="Times New Roman" w:cs="Times New Roman"/>
          <w:sz w:val="24"/>
          <w:szCs w:val="24"/>
          <w:lang w:val="en-GB"/>
        </w:rPr>
        <w:t xml:space="preserve"> means high score in most patients answering a PROM. This has been a challenge in long term follow-up of in former studies on ankle fracture patients. When selecting PROMs as end points for our study, we have looked for PROMs asking for ability to fulfil difficult tasks to reach the highest score range. If the Norwegian version is ready at the end of 2025, we will also use the PROMIS Mobility bank 2.1 at one year follow up</w:t>
      </w:r>
      <w:hyperlink r:id="rId45" w:history="1">
        <w:r w:rsidRPr="000B4DCF">
          <w:rPr>
            <w:rFonts w:ascii="Times New Roman" w:eastAsia="Times New Roman" w:hAnsi="Times New Roman" w:cs="Times New Roman"/>
            <w:sz w:val="24"/>
            <w:vertAlign w:val="superscript"/>
            <w:lang w:val="en-GB"/>
          </w:rPr>
          <w:t>2</w:t>
        </w:r>
      </w:hyperlink>
      <w:r w:rsidRPr="000B4DCF">
        <w:rPr>
          <w:rFonts w:ascii="Times New Roman" w:hAnsi="Times New Roman" w:cs="Times New Roman"/>
          <w:sz w:val="24"/>
          <w:szCs w:val="24"/>
          <w:lang w:val="en-GB"/>
        </w:rPr>
        <w:t>.</w:t>
      </w:r>
      <w:r w:rsidRPr="000B4DCF">
        <w:rPr>
          <w:rFonts w:ascii="Times New Roman" w:eastAsia="Arial" w:hAnsi="Times New Roman" w:cs="Times New Roman"/>
          <w:sz w:val="24"/>
          <w:szCs w:val="24"/>
          <w:lang w:val="en-GB"/>
        </w:rPr>
        <w:t xml:space="preserve"> </w:t>
      </w:r>
    </w:p>
    <w:p w14:paraId="16F857A9" w14:textId="77777777" w:rsidR="000B4DCF" w:rsidRPr="000B4DCF" w:rsidRDefault="000B4DCF" w:rsidP="000B4DCF">
      <w:pPr>
        <w:spacing w:line="480" w:lineRule="auto"/>
        <w:divId w:val="1966427447"/>
        <w:rPr>
          <w:rFonts w:ascii="Times New Roman" w:eastAsia="Arial" w:hAnsi="Times New Roman" w:cs="Times New Roman"/>
          <w:sz w:val="24"/>
          <w:szCs w:val="24"/>
          <w:lang w:val="en-GB"/>
        </w:rPr>
      </w:pPr>
      <w:r w:rsidRPr="000B4DCF">
        <w:rPr>
          <w:rFonts w:ascii="Times New Roman" w:eastAsia="Arial" w:hAnsi="Times New Roman" w:cs="Times New Roman"/>
          <w:b/>
          <w:bCs/>
          <w:sz w:val="24"/>
          <w:szCs w:val="24"/>
          <w:u w:color="000000"/>
          <w:lang w:val="en-GB"/>
        </w:rPr>
        <w:t>Sample size, power and stratification</w:t>
      </w:r>
    </w:p>
    <w:p w14:paraId="5047A790" w14:textId="77777777" w:rsidR="000B4DCF" w:rsidRPr="000B4DCF" w:rsidRDefault="000B4DCF" w:rsidP="000B4DCF">
      <w:pPr>
        <w:spacing w:line="480" w:lineRule="auto"/>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To detect a defined minimal clinically important difference of between 8 and 10 (slightly more than half of the standard deviation (SD), or 9,7</w:t>
      </w:r>
      <w:hyperlink r:id="rId46" w:history="1">
        <w:r w:rsidRPr="000B4DCF">
          <w:rPr>
            <w:rFonts w:ascii="Times New Roman" w:eastAsia="Times New Roman" w:hAnsi="Times New Roman" w:cs="Times New Roman"/>
            <w:sz w:val="24"/>
            <w:vertAlign w:val="superscript"/>
            <w:lang w:val="en-GB"/>
          </w:rPr>
          <w:t>26</w:t>
        </w:r>
      </w:hyperlink>
      <w:r w:rsidRPr="000B4DCF">
        <w:rPr>
          <w:rFonts w:ascii="Times New Roman" w:eastAsia="Arial" w:hAnsi="Times New Roman" w:cs="Times New Roman"/>
          <w:sz w:val="24"/>
          <w:szCs w:val="24"/>
          <w:lang w:val="en-GB"/>
        </w:rPr>
        <w:t xml:space="preserve"> as referred) in Olerud-Molander ankle score between the study-groups, expected SD 14 points (Pakarinen et al found 13 and 15 in their groups</w:t>
      </w:r>
      <w:hyperlink r:id="rId47" w:history="1">
        <w:r w:rsidRPr="000B4DCF">
          <w:rPr>
            <w:rFonts w:ascii="Times New Roman" w:eastAsia="Times New Roman" w:hAnsi="Times New Roman" w:cs="Times New Roman"/>
            <w:sz w:val="24"/>
            <w:vertAlign w:val="superscript"/>
            <w:lang w:val="en-GB"/>
          </w:rPr>
          <w:t>32</w:t>
        </w:r>
      </w:hyperlink>
      <w:r w:rsidRPr="000B4DCF">
        <w:rPr>
          <w:rFonts w:ascii="Times New Roman" w:eastAsia="Arial" w:hAnsi="Times New Roman" w:cs="Times New Roman"/>
          <w:sz w:val="24"/>
          <w:szCs w:val="24"/>
          <w:lang w:val="en-GB"/>
        </w:rPr>
        <w:t>, Molund et al had a SD of 12 on average</w:t>
      </w:r>
      <w:hyperlink r:id="rId48" w:history="1">
        <w:r w:rsidRPr="000B4DCF">
          <w:rPr>
            <w:rFonts w:ascii="Times New Roman" w:eastAsia="Times New Roman" w:hAnsi="Times New Roman" w:cs="Times New Roman"/>
            <w:sz w:val="24"/>
            <w:vertAlign w:val="superscript"/>
            <w:lang w:val="en-GB"/>
          </w:rPr>
          <w:t>29</w:t>
        </w:r>
      </w:hyperlink>
      <w:r w:rsidRPr="000B4DCF">
        <w:rPr>
          <w:rFonts w:ascii="Times New Roman" w:eastAsia="Arial" w:hAnsi="Times New Roman" w:cs="Times New Roman"/>
          <w:sz w:val="24"/>
          <w:szCs w:val="24"/>
          <w:lang w:val="en-GB"/>
        </w:rPr>
        <w:t xml:space="preserve">), significance level </w:t>
      </w:r>
      <w:r w:rsidRPr="000B4DCF">
        <w:rPr>
          <w:rFonts w:ascii="Times New Roman" w:eastAsia="Arial" w:hAnsi="Times New Roman" w:cs="Times New Roman"/>
          <w:i/>
          <w:sz w:val="24"/>
          <w:szCs w:val="24"/>
        </w:rPr>
        <w:t>α</w:t>
      </w:r>
      <w:r w:rsidRPr="000B4DCF">
        <w:rPr>
          <w:rFonts w:ascii="Times New Roman" w:eastAsia="Arial" w:hAnsi="Times New Roman" w:cs="Times New Roman"/>
          <w:i/>
          <w:sz w:val="24"/>
          <w:szCs w:val="24"/>
          <w:lang w:val="en-GB"/>
        </w:rPr>
        <w:t xml:space="preserve"> </w:t>
      </w:r>
      <w:r w:rsidRPr="000B4DCF">
        <w:rPr>
          <w:rFonts w:ascii="Times New Roman" w:eastAsia="Arial" w:hAnsi="Times New Roman" w:cs="Times New Roman"/>
          <w:sz w:val="24"/>
          <w:szCs w:val="24"/>
          <w:lang w:val="en-GB"/>
        </w:rPr>
        <w:t>= 0</w:t>
      </w:r>
      <w:r w:rsidRPr="000B4DCF">
        <w:rPr>
          <w:rFonts w:ascii="Times New Roman" w:eastAsia="Arial" w:hAnsi="Times New Roman" w:cs="Times New Roman"/>
          <w:i/>
          <w:sz w:val="24"/>
          <w:szCs w:val="24"/>
          <w:lang w:val="en-GB"/>
        </w:rPr>
        <w:t>.</w:t>
      </w:r>
      <w:r w:rsidRPr="000B4DCF">
        <w:rPr>
          <w:rFonts w:ascii="Times New Roman" w:eastAsia="Arial" w:hAnsi="Times New Roman" w:cs="Times New Roman"/>
          <w:sz w:val="24"/>
          <w:szCs w:val="24"/>
          <w:lang w:val="en-GB"/>
        </w:rPr>
        <w:t>05, Power 0,8, and estimated 20% drop out (two-sided t-test, clinical superiority design) we will include 60 patients in each group to ensure sufficient power after expected drop out</w:t>
      </w:r>
      <w:hyperlink r:id="rId49" w:history="1">
        <w:r w:rsidRPr="000B4DCF">
          <w:rPr>
            <w:rFonts w:ascii="Times New Roman" w:eastAsia="Times New Roman" w:hAnsi="Times New Roman" w:cs="Times New Roman"/>
            <w:sz w:val="24"/>
            <w:vertAlign w:val="superscript"/>
            <w:lang w:val="en-GB"/>
          </w:rPr>
          <w:t>47</w:t>
        </w:r>
      </w:hyperlink>
      <w:r w:rsidRPr="000B4DCF">
        <w:rPr>
          <w:rFonts w:ascii="Times New Roman" w:eastAsia="Arial" w:hAnsi="Times New Roman" w:cs="Times New Roman"/>
          <w:sz w:val="24"/>
          <w:szCs w:val="24"/>
          <w:lang w:val="en-GB"/>
        </w:rPr>
        <w:t>. Stratification for block randomization will be by sex and age above or below 50 years at time of inclusion.</w:t>
      </w:r>
    </w:p>
    <w:p w14:paraId="67F42FDA" w14:textId="77777777" w:rsidR="000B4DCF" w:rsidRPr="000B4DCF" w:rsidRDefault="000B4DCF" w:rsidP="000B4DCF">
      <w:pPr>
        <w:spacing w:line="480" w:lineRule="auto"/>
        <w:divId w:val="1966427447"/>
        <w:rPr>
          <w:rFonts w:ascii="Times New Roman" w:eastAsia="Arial" w:hAnsi="Times New Roman" w:cs="Times New Roman"/>
          <w:sz w:val="24"/>
          <w:szCs w:val="24"/>
          <w:u w:val="single"/>
          <w:lang w:val="en-GB"/>
        </w:rPr>
      </w:pPr>
    </w:p>
    <w:p w14:paraId="1DDCB7A8" w14:textId="77777777" w:rsidR="000B4DCF" w:rsidRPr="000B4DCF" w:rsidRDefault="000B4DCF" w:rsidP="000B4DCF">
      <w:pPr>
        <w:spacing w:line="480" w:lineRule="auto"/>
        <w:divId w:val="1966427447"/>
        <w:rPr>
          <w:rFonts w:ascii="Times New Roman" w:eastAsia="Arial" w:hAnsi="Times New Roman" w:cs="Times New Roman"/>
          <w:b/>
          <w:bCs/>
          <w:sz w:val="24"/>
          <w:szCs w:val="24"/>
          <w:lang w:val="en-GB"/>
        </w:rPr>
      </w:pPr>
      <w:r w:rsidRPr="000B4DCF">
        <w:rPr>
          <w:rFonts w:ascii="Times New Roman" w:eastAsia="Arial" w:hAnsi="Times New Roman" w:cs="Times New Roman"/>
          <w:b/>
          <w:bCs/>
          <w:sz w:val="24"/>
          <w:szCs w:val="24"/>
          <w:lang w:val="en-GB"/>
        </w:rPr>
        <w:t>Recruitment strategy and procedure</w:t>
      </w:r>
    </w:p>
    <w:p w14:paraId="377E6C5E" w14:textId="77777777" w:rsidR="000B4DCF" w:rsidRPr="000B4DCF" w:rsidRDefault="000B4DCF" w:rsidP="000B4DCF">
      <w:pPr>
        <w:spacing w:line="480" w:lineRule="auto"/>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lastRenderedPageBreak/>
        <w:t>Statistics from our surgical departments suggest that there will be more than 100 candidates a year prone for inclusion in our recruitment districts altogether. The catchment areas of the participating centres comprise more than 1,500,000 persons. Patients arriving at recruiting hospitals receive oral and written information about the trial from the orthopaedic resident surgeon on call or a physiotherapist or nurse in the emergency department or outpatient clinic. Participants will be informed, written and orally, that participation in the studies is voluntary, and that they can withdraw their consent at any time without influencing their further treatment.</w:t>
      </w:r>
    </w:p>
    <w:p w14:paraId="08101ECE" w14:textId="77777777" w:rsidR="000B4DCF" w:rsidRPr="000B4DCF" w:rsidRDefault="000B4DCF" w:rsidP="000B4DCF">
      <w:pPr>
        <w:spacing w:line="480" w:lineRule="auto"/>
        <w:divId w:val="1966427447"/>
        <w:rPr>
          <w:rFonts w:ascii="Times New Roman" w:hAnsi="Times New Roman" w:cs="Times New Roman"/>
          <w:b/>
          <w:bCs/>
          <w:color w:val="000000"/>
          <w:sz w:val="24"/>
          <w:szCs w:val="24"/>
          <w:shd w:val="clear" w:color="auto" w:fill="FFFFFF"/>
          <w:lang w:val="en-GB"/>
        </w:rPr>
      </w:pPr>
    </w:p>
    <w:p w14:paraId="6D7A7157" w14:textId="77777777" w:rsidR="000B4DCF" w:rsidRPr="000B4DCF" w:rsidRDefault="000B4DCF" w:rsidP="000B4DCF">
      <w:pPr>
        <w:spacing w:line="480" w:lineRule="auto"/>
        <w:divId w:val="1966427447"/>
        <w:rPr>
          <w:rFonts w:ascii="Times New Roman" w:hAnsi="Times New Roman" w:cs="Times New Roman"/>
          <w:color w:val="000000"/>
          <w:sz w:val="24"/>
          <w:szCs w:val="24"/>
          <w:shd w:val="clear" w:color="auto" w:fill="FFFFFF"/>
          <w:lang w:val="en-GB"/>
        </w:rPr>
      </w:pPr>
      <w:r w:rsidRPr="000B4DCF">
        <w:rPr>
          <w:rFonts w:ascii="Times New Roman" w:hAnsi="Times New Roman" w:cs="Times New Roman"/>
          <w:b/>
          <w:bCs/>
          <w:color w:val="000000"/>
          <w:sz w:val="24"/>
          <w:szCs w:val="24"/>
          <w:shd w:val="clear" w:color="auto" w:fill="FFFFFF"/>
          <w:lang w:val="en-GB"/>
        </w:rPr>
        <w:t>Concealment and blinding</w:t>
      </w:r>
    </w:p>
    <w:p w14:paraId="0D5B12C4" w14:textId="77777777" w:rsidR="000B4DCF" w:rsidRPr="000B4DCF" w:rsidRDefault="000B4DCF" w:rsidP="000B4DCF">
      <w:pPr>
        <w:spacing w:line="480" w:lineRule="auto"/>
        <w:divId w:val="1966427447"/>
        <w:rPr>
          <w:rFonts w:ascii="Times New Roman" w:hAnsi="Times New Roman" w:cs="Times New Roman"/>
          <w:b/>
          <w:bCs/>
          <w:sz w:val="24"/>
          <w:szCs w:val="24"/>
          <w:lang w:val="en-GB"/>
        </w:rPr>
      </w:pPr>
      <w:r w:rsidRPr="000B4DCF">
        <w:rPr>
          <w:rFonts w:ascii="Times New Roman" w:hAnsi="Times New Roman" w:cs="Times New Roman"/>
          <w:color w:val="000000"/>
          <w:sz w:val="24"/>
          <w:szCs w:val="24"/>
          <w:shd w:val="clear" w:color="auto" w:fill="FFFFFF"/>
          <w:lang w:val="en-GB"/>
        </w:rPr>
        <w:t>As no sham surgery will be performed to the medial side of the ankle in the osteosynthesis only treatment arm, and suture anchors often may be seen on x-rays, blinding will not be possible.</w:t>
      </w:r>
    </w:p>
    <w:p w14:paraId="79EB9BED" w14:textId="77777777" w:rsidR="000B4DCF" w:rsidRPr="000B4DCF" w:rsidRDefault="000B4DCF" w:rsidP="000B4DCF">
      <w:pPr>
        <w:spacing w:after="3" w:line="480" w:lineRule="auto"/>
        <w:ind w:left="-5" w:right="52" w:hanging="10"/>
        <w:divId w:val="1966427447"/>
        <w:rPr>
          <w:rFonts w:ascii="Times New Roman" w:eastAsia="Arial" w:hAnsi="Times New Roman" w:cs="Times New Roman"/>
          <w:b/>
          <w:bCs/>
          <w:sz w:val="24"/>
          <w:szCs w:val="24"/>
          <w:u w:color="000000"/>
          <w:lang w:val="en-GB"/>
        </w:rPr>
      </w:pPr>
    </w:p>
    <w:p w14:paraId="5EC9D22D" w14:textId="77777777" w:rsidR="000B4DCF" w:rsidRPr="000B4DCF" w:rsidRDefault="000B4DCF" w:rsidP="000B4DCF">
      <w:pPr>
        <w:spacing w:line="480" w:lineRule="auto"/>
        <w:ind w:left="-5" w:right="51" w:hanging="10"/>
        <w:divId w:val="1966427447"/>
        <w:rPr>
          <w:rFonts w:ascii="Times New Roman" w:eastAsia="Arial" w:hAnsi="Times New Roman" w:cs="Times New Roman"/>
          <w:b/>
          <w:bCs/>
          <w:sz w:val="24"/>
          <w:szCs w:val="24"/>
          <w:u w:color="000000"/>
          <w:lang w:val="en-GB"/>
        </w:rPr>
      </w:pPr>
      <w:bookmarkStart w:id="2" w:name="_Hlk170806006"/>
      <w:r w:rsidRPr="000B4DCF">
        <w:rPr>
          <w:rFonts w:ascii="Times New Roman" w:eastAsia="Arial" w:hAnsi="Times New Roman" w:cs="Times New Roman"/>
          <w:b/>
          <w:bCs/>
          <w:sz w:val="24"/>
          <w:szCs w:val="24"/>
          <w:u w:color="000000"/>
          <w:lang w:val="en-GB"/>
        </w:rPr>
        <w:t>Participants, organization and collaborations</w:t>
      </w:r>
    </w:p>
    <w:p w14:paraId="7F90E495"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u w:val="single" w:color="000000"/>
          <w:lang w:val="en-GB"/>
        </w:rPr>
        <w:t>Project leader and co-supervisor</w:t>
      </w:r>
      <w:r w:rsidRPr="000B4DCF">
        <w:rPr>
          <w:rFonts w:ascii="Times New Roman" w:eastAsia="Arial" w:hAnsi="Times New Roman" w:cs="Times New Roman"/>
          <w:sz w:val="24"/>
          <w:szCs w:val="24"/>
          <w:lang w:val="en-GB"/>
        </w:rPr>
        <w:t xml:space="preserve">: Frede Frihagen, MD, PhD, consultant orthopaedic surgeon, Østfold Hospital Trust (ØHT) and associate professor at Oslo University Hospital. </w:t>
      </w:r>
    </w:p>
    <w:p w14:paraId="749E18F8" w14:textId="77777777" w:rsidR="000B4DCF" w:rsidRPr="000B4DCF" w:rsidRDefault="000B4DCF" w:rsidP="000B4DCF">
      <w:pPr>
        <w:spacing w:line="480" w:lineRule="auto"/>
        <w:ind w:left="-5" w:right="51" w:hanging="10"/>
        <w:divId w:val="1966427447"/>
        <w:rPr>
          <w:rFonts w:ascii="Times New Roman" w:hAnsi="Times New Roman" w:cs="Times New Roman"/>
          <w:sz w:val="24"/>
          <w:szCs w:val="24"/>
          <w:lang w:val="en-GB"/>
        </w:rPr>
      </w:pPr>
      <w:r w:rsidRPr="000B4DCF">
        <w:rPr>
          <w:rFonts w:ascii="Times New Roman" w:eastAsia="Arial" w:hAnsi="Times New Roman" w:cs="Times New Roman"/>
          <w:sz w:val="24"/>
          <w:szCs w:val="24"/>
          <w:u w:val="single" w:color="000000"/>
          <w:lang w:val="en-GB"/>
        </w:rPr>
        <w:t>Main supervisor and principal investigator:</w:t>
      </w:r>
      <w:r w:rsidRPr="000B4DCF">
        <w:rPr>
          <w:rFonts w:ascii="Times New Roman" w:eastAsia="Arial" w:hAnsi="Times New Roman" w:cs="Times New Roman"/>
          <w:sz w:val="24"/>
          <w:szCs w:val="24"/>
          <w:lang w:val="en-GB"/>
        </w:rPr>
        <w:t xml:space="preserve"> Marius Molund, MD, PhD, consultant orthopaedic surgeon, Department of orthopaedic surgery, ØHT. Marius has extensive clinical and research experience and is a reviewer of the journal Foot and Ankle International.</w:t>
      </w:r>
    </w:p>
    <w:p w14:paraId="7030D136" w14:textId="77777777" w:rsidR="000B4DCF" w:rsidRPr="000B4DCF" w:rsidRDefault="000B4DCF" w:rsidP="000B4DCF">
      <w:pPr>
        <w:spacing w:after="3" w:line="480" w:lineRule="auto"/>
        <w:ind w:left="-5" w:right="1153" w:hanging="10"/>
        <w:jc w:val="both"/>
        <w:divId w:val="1966427447"/>
        <w:rPr>
          <w:rFonts w:ascii="Times New Roman" w:hAnsi="Times New Roman" w:cs="Times New Roman"/>
          <w:sz w:val="24"/>
          <w:szCs w:val="24"/>
          <w:lang w:val="en-GB"/>
        </w:rPr>
      </w:pPr>
      <w:r w:rsidRPr="000B4DCF">
        <w:rPr>
          <w:rFonts w:ascii="Times New Roman" w:eastAsia="Arial" w:hAnsi="Times New Roman" w:cs="Times New Roman"/>
          <w:sz w:val="24"/>
          <w:szCs w:val="24"/>
          <w:u w:val="single" w:color="000000"/>
          <w:lang w:val="en-GB"/>
        </w:rPr>
        <w:t>PhD candidate:</w:t>
      </w:r>
      <w:r w:rsidRPr="000B4DCF">
        <w:rPr>
          <w:rFonts w:ascii="Times New Roman" w:eastAsia="Arial" w:hAnsi="Times New Roman" w:cs="Times New Roman"/>
          <w:sz w:val="24"/>
          <w:szCs w:val="24"/>
          <w:lang w:val="en-GB"/>
        </w:rPr>
        <w:t xml:space="preserve"> Esten Konstad Haanæs, consultant orthopaedic surgeon, Lead investigator at Sykehuset Levanger and PhD candidate in ØHT, will be responsible for the day-to-day management of the RCT. </w:t>
      </w:r>
    </w:p>
    <w:p w14:paraId="1BD6ECD8"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u w:val="single" w:color="000000"/>
          <w:lang w:val="en-GB"/>
        </w:rPr>
        <w:lastRenderedPageBreak/>
        <w:t xml:space="preserve">Co-supervisors: </w:t>
      </w:r>
      <w:r w:rsidRPr="000B4DCF">
        <w:rPr>
          <w:rFonts w:ascii="Times New Roman" w:eastAsia="Arial" w:hAnsi="Times New Roman" w:cs="Times New Roman"/>
          <w:sz w:val="24"/>
          <w:szCs w:val="24"/>
          <w:lang w:val="en-GB"/>
        </w:rPr>
        <w:t xml:space="preserve">Andrew M. Garratt, Dr. Scient, Norwegian Institute for Public Health (FHI). He has great experience in PROMs research and is the national main contact for EQ-5D and PROMIS. </w:t>
      </w:r>
    </w:p>
    <w:p w14:paraId="1F48E76C"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 xml:space="preserve">Aksel Paulsen, MD, PhD, orthopaedic surgeon, head of research, associate professor, orthopaedic dept. Dr. Paulsen </w:t>
      </w:r>
      <w:r w:rsidRPr="000B4DCF">
        <w:rPr>
          <w:rFonts w:ascii="Times New Roman" w:eastAsia="Arial" w:hAnsi="Times New Roman" w:cs="Times New Roman"/>
          <w:bCs/>
          <w:sz w:val="24"/>
          <w:szCs w:val="24"/>
          <w:lang w:val="en-GB"/>
        </w:rPr>
        <w:t xml:space="preserve">is lead investigator at </w:t>
      </w:r>
      <w:r w:rsidRPr="000B4DCF">
        <w:rPr>
          <w:rFonts w:ascii="Times New Roman" w:eastAsia="Arial" w:hAnsi="Times New Roman" w:cs="Times New Roman"/>
          <w:sz w:val="24"/>
          <w:szCs w:val="24"/>
          <w:lang w:val="en-GB"/>
        </w:rPr>
        <w:t>Stavanger University Hospital and runs PROMs research.</w:t>
      </w:r>
    </w:p>
    <w:p w14:paraId="4AE2E29D" w14:textId="77777777" w:rsidR="000B4DCF" w:rsidRPr="000B4DCF" w:rsidRDefault="000B4DCF" w:rsidP="000B4DCF">
      <w:pPr>
        <w:spacing w:line="480" w:lineRule="auto"/>
        <w:divId w:val="1966427447"/>
        <w:rPr>
          <w:rFonts w:ascii="Times New Roman" w:hAnsi="Times New Roman" w:cs="Times New Roman"/>
          <w:sz w:val="24"/>
          <w:szCs w:val="24"/>
          <w:lang w:val="en-GB"/>
        </w:rPr>
      </w:pPr>
      <w:r w:rsidRPr="000B4DCF">
        <w:rPr>
          <w:rFonts w:ascii="Times New Roman" w:eastAsia="Arial" w:hAnsi="Times New Roman" w:cs="Times New Roman"/>
          <w:sz w:val="24"/>
          <w:szCs w:val="24"/>
          <w:lang w:val="en-GB"/>
        </w:rPr>
        <w:t xml:space="preserve">Greger Lønne,MD, PhD, consultant orthopaedic surgeon, Sykehuset Innlandet Hospital Trust (SIHT), Tynset and associate professor, </w:t>
      </w:r>
      <w:r w:rsidRPr="000B4DCF">
        <w:rPr>
          <w:rFonts w:ascii="Times New Roman" w:hAnsi="Times New Roman" w:cs="Times New Roman"/>
          <w:sz w:val="24"/>
          <w:szCs w:val="24"/>
          <w:lang w:val="en-GB"/>
        </w:rPr>
        <w:t>Norwegian University of Science and Technology (NTNU). NTNU has a data transfer agreement with Hemit, an information technology corporation that runs the research data base eFORSK. Hemit is owned by Central Norway Regional Health Authority. NTNU and ØHT are main institutions for the trial and have agreed upon shared responsibility for its data management.</w:t>
      </w:r>
    </w:p>
    <w:p w14:paraId="7D1C8CB4"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u w:color="000000"/>
          <w:lang w:val="en-GB"/>
        </w:rPr>
      </w:pPr>
    </w:p>
    <w:p w14:paraId="4B4ED644"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u w:val="single" w:color="000000"/>
          <w:lang w:val="en-GB"/>
        </w:rPr>
      </w:pPr>
    </w:p>
    <w:p w14:paraId="2A7ED8BA"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u w:color="000000"/>
          <w:lang w:val="en-GB"/>
        </w:rPr>
      </w:pPr>
      <w:r w:rsidRPr="000B4DCF">
        <w:rPr>
          <w:rFonts w:ascii="Times New Roman" w:eastAsia="Arial" w:hAnsi="Times New Roman" w:cs="Times New Roman"/>
          <w:sz w:val="24"/>
          <w:szCs w:val="24"/>
          <w:u w:val="single" w:color="000000"/>
          <w:lang w:val="en-GB"/>
        </w:rPr>
        <w:t>Lead investigators at other collaborating hospitals:</w:t>
      </w:r>
      <w:r w:rsidRPr="000B4DCF">
        <w:rPr>
          <w:rFonts w:ascii="Times New Roman" w:eastAsia="Arial" w:hAnsi="Times New Roman" w:cs="Times New Roman"/>
          <w:sz w:val="24"/>
          <w:szCs w:val="24"/>
          <w:u w:color="000000"/>
          <w:lang w:val="en-GB"/>
        </w:rPr>
        <w:t xml:space="preserve"> </w:t>
      </w:r>
    </w:p>
    <w:p w14:paraId="5F4D323B"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u w:color="000000"/>
          <w:lang w:val="en-GB"/>
        </w:rPr>
        <w:t>Jostein Skorpa Nilsen</w:t>
      </w:r>
      <w:r w:rsidRPr="000B4DCF">
        <w:rPr>
          <w:rFonts w:ascii="Times New Roman" w:eastAsia="Arial" w:hAnsi="Times New Roman" w:cs="Times New Roman"/>
          <w:sz w:val="24"/>
          <w:szCs w:val="24"/>
          <w:lang w:val="en-GB"/>
        </w:rPr>
        <w:t xml:space="preserve">, consultant </w:t>
      </w:r>
      <w:r w:rsidRPr="000B4DCF">
        <w:rPr>
          <w:rFonts w:ascii="Times New Roman" w:eastAsia="Arial" w:hAnsi="Times New Roman" w:cs="Times New Roman"/>
          <w:sz w:val="24"/>
          <w:szCs w:val="24"/>
          <w:u w:color="000000"/>
          <w:lang w:val="en-GB"/>
        </w:rPr>
        <w:t xml:space="preserve">orthopaedic surgeon, </w:t>
      </w:r>
      <w:r w:rsidRPr="000B4DCF">
        <w:rPr>
          <w:rFonts w:ascii="Times New Roman" w:eastAsia="Arial" w:hAnsi="Times New Roman" w:cs="Times New Roman"/>
          <w:sz w:val="24"/>
          <w:szCs w:val="24"/>
          <w:lang w:val="en-GB"/>
        </w:rPr>
        <w:t>Haukeland University Hospital</w:t>
      </w:r>
    </w:p>
    <w:p w14:paraId="2F8CF965"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Jakup Andreas Thomsen, consultant orthopaedic surgeon, Ålesund Sjukehus</w:t>
      </w:r>
    </w:p>
    <w:p w14:paraId="4E486A1D" w14:textId="77777777" w:rsidR="000B4DCF" w:rsidRPr="000B4DCF" w:rsidRDefault="000B4DCF" w:rsidP="000B4DCF">
      <w:pPr>
        <w:spacing w:after="3" w:line="480" w:lineRule="auto"/>
        <w:ind w:right="1153"/>
        <w:jc w:val="both"/>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u w:color="000000"/>
          <w:lang w:val="en-GB"/>
        </w:rPr>
        <w:t xml:space="preserve">Carl Erik Alm, </w:t>
      </w:r>
      <w:r w:rsidRPr="000B4DCF">
        <w:rPr>
          <w:rFonts w:ascii="Times New Roman" w:eastAsia="Arial" w:hAnsi="Times New Roman" w:cs="Times New Roman"/>
          <w:sz w:val="24"/>
          <w:szCs w:val="24"/>
          <w:lang w:val="en-GB"/>
        </w:rPr>
        <w:t>consultant orthopaedic surgeon, Oslo University Hospital, Ullevål</w:t>
      </w:r>
    </w:p>
    <w:p w14:paraId="4B1BACE2"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rPr>
      </w:pPr>
      <w:r w:rsidRPr="000B4DCF">
        <w:rPr>
          <w:rFonts w:ascii="Times New Roman" w:eastAsia="Arial" w:hAnsi="Times New Roman" w:cs="Times New Roman"/>
          <w:sz w:val="24"/>
          <w:szCs w:val="24"/>
        </w:rPr>
        <w:t>Petter Grønmark, orthopaedic resident, ØHT</w:t>
      </w:r>
    </w:p>
    <w:p w14:paraId="7FC4257A"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rPr>
      </w:pPr>
      <w:r w:rsidRPr="000B4DCF">
        <w:rPr>
          <w:rFonts w:ascii="Times New Roman" w:eastAsia="Arial" w:hAnsi="Times New Roman" w:cs="Times New Roman"/>
          <w:sz w:val="24"/>
          <w:szCs w:val="24"/>
        </w:rPr>
        <w:t>Henrik Emil Wildeng Pettersen, orthopaedic resident, SIHT, Gjøvik.</w:t>
      </w:r>
    </w:p>
    <w:p w14:paraId="22DEAF2F"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Ove Talsnes, consultant orthopaedic surgeon, SIHT, Elverum</w:t>
      </w:r>
    </w:p>
    <w:p w14:paraId="53F36D46" w14:textId="77777777" w:rsidR="000B4DCF" w:rsidRPr="000B4DCF" w:rsidRDefault="000B4DCF" w:rsidP="000B4DCF">
      <w:pPr>
        <w:spacing w:line="480" w:lineRule="auto"/>
        <w:ind w:left="-5" w:right="51" w:hanging="10"/>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Jonas Larsen Hilmo, Nordlandssykehuset Bodø</w:t>
      </w:r>
    </w:p>
    <w:bookmarkEnd w:id="2"/>
    <w:p w14:paraId="3CB3F00B" w14:textId="77777777" w:rsidR="000B4DCF" w:rsidRPr="000B4DCF" w:rsidRDefault="000B4DCF" w:rsidP="000B4DCF">
      <w:pPr>
        <w:spacing w:after="3" w:line="480" w:lineRule="auto"/>
        <w:ind w:right="1153"/>
        <w:jc w:val="both"/>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u w:val="single" w:color="000000"/>
          <w:lang w:val="en-GB"/>
        </w:rPr>
        <w:t>Conflicts of interest:</w:t>
      </w:r>
      <w:r w:rsidRPr="000B4DCF">
        <w:rPr>
          <w:rFonts w:ascii="Times New Roman" w:eastAsia="Arial" w:hAnsi="Times New Roman" w:cs="Times New Roman"/>
          <w:sz w:val="24"/>
          <w:szCs w:val="24"/>
          <w:lang w:val="en-GB"/>
        </w:rPr>
        <w:t xml:space="preserve"> We claim no conflict of interest for the applicants.</w:t>
      </w:r>
    </w:p>
    <w:p w14:paraId="5E0CB920" w14:textId="77777777" w:rsidR="000B4DCF" w:rsidRPr="000B4DCF" w:rsidRDefault="000B4DCF" w:rsidP="000B4DCF">
      <w:pPr>
        <w:spacing w:after="3" w:line="480" w:lineRule="auto"/>
        <w:ind w:right="1153"/>
        <w:jc w:val="both"/>
        <w:divId w:val="1966427447"/>
        <w:rPr>
          <w:rFonts w:ascii="Times New Roman" w:eastAsia="Arial" w:hAnsi="Times New Roman" w:cs="Times New Roman"/>
          <w:b/>
          <w:bCs/>
          <w:sz w:val="24"/>
          <w:szCs w:val="24"/>
          <w:lang w:val="en-GB"/>
        </w:rPr>
      </w:pPr>
    </w:p>
    <w:p w14:paraId="2926E661" w14:textId="77777777" w:rsidR="000B4DCF" w:rsidRPr="000B4DCF" w:rsidRDefault="000B4DCF" w:rsidP="000B4DCF">
      <w:pPr>
        <w:spacing w:after="3" w:line="480" w:lineRule="auto"/>
        <w:ind w:right="1153"/>
        <w:jc w:val="both"/>
        <w:divId w:val="1966427447"/>
        <w:rPr>
          <w:rFonts w:ascii="Times New Roman" w:eastAsia="Arial" w:hAnsi="Times New Roman" w:cs="Times New Roman"/>
          <w:b/>
          <w:bCs/>
          <w:sz w:val="24"/>
          <w:szCs w:val="24"/>
          <w:lang w:val="en-GB"/>
        </w:rPr>
      </w:pPr>
      <w:r w:rsidRPr="000B4DCF">
        <w:rPr>
          <w:rFonts w:ascii="Times New Roman" w:eastAsia="Arial" w:hAnsi="Times New Roman" w:cs="Times New Roman"/>
          <w:b/>
          <w:bCs/>
          <w:sz w:val="24"/>
          <w:szCs w:val="24"/>
          <w:lang w:val="en-GB"/>
        </w:rPr>
        <w:t>Data management, randomization and storage</w:t>
      </w:r>
    </w:p>
    <w:p w14:paraId="5460E457" w14:textId="77777777" w:rsidR="000B4DCF" w:rsidRPr="000B4DCF" w:rsidRDefault="000B4DCF" w:rsidP="000B4DCF">
      <w:pPr>
        <w:spacing w:line="480" w:lineRule="auto"/>
        <w:divId w:val="1966427447"/>
        <w:rPr>
          <w:rFonts w:ascii="Times New Roman" w:hAnsi="Times New Roman" w:cs="Times New Roman"/>
          <w:color w:val="000000"/>
          <w:sz w:val="24"/>
          <w:szCs w:val="24"/>
          <w:shd w:val="clear" w:color="auto" w:fill="FFFFFF"/>
          <w:lang w:val="en-GB"/>
        </w:rPr>
      </w:pPr>
      <w:r w:rsidRPr="000B4DCF">
        <w:rPr>
          <w:rFonts w:ascii="Times New Roman" w:hAnsi="Times New Roman" w:cs="Times New Roman"/>
          <w:color w:val="000000"/>
          <w:sz w:val="24"/>
          <w:szCs w:val="24"/>
          <w:shd w:val="clear" w:color="auto" w:fill="FFFFFF"/>
          <w:lang w:val="en-GB"/>
        </w:rPr>
        <w:t>All data will be entered and stored electronically in the electronic research data base (eFORSK, Hemit, Trondheim, Norway).  Access to the study data will be restricted to study group members, where the hospitals lead investigators reach their own data through the national health network by two-factor authentication. eFORSK holds a computerized randomization module. The research data base also communicates electronically to collect PROM-data from patients at follow-up. Data will be deidentified before export for statistical analysis. Participant files will be maintained in storage for a period of five years after the completion of the study before deletion.</w:t>
      </w:r>
    </w:p>
    <w:p w14:paraId="2424B3ED" w14:textId="77777777" w:rsidR="000B4DCF" w:rsidRPr="000B4DCF" w:rsidRDefault="000B4DCF" w:rsidP="000B4DCF">
      <w:pPr>
        <w:spacing w:after="3" w:line="480" w:lineRule="auto"/>
        <w:ind w:right="1153"/>
        <w:jc w:val="both"/>
        <w:divId w:val="1966427447"/>
        <w:rPr>
          <w:rFonts w:ascii="Times New Roman" w:hAnsi="Times New Roman" w:cs="Times New Roman"/>
          <w:sz w:val="24"/>
          <w:szCs w:val="24"/>
          <w:lang w:val="en-GB"/>
        </w:rPr>
      </w:pPr>
    </w:p>
    <w:p w14:paraId="2F17482A" w14:textId="77777777" w:rsidR="000B4DCF" w:rsidRPr="000B4DCF" w:rsidRDefault="000B4DCF" w:rsidP="000B4DCF">
      <w:pPr>
        <w:spacing w:after="3" w:line="480" w:lineRule="auto"/>
        <w:ind w:right="1153"/>
        <w:jc w:val="both"/>
        <w:divId w:val="1966427447"/>
        <w:rPr>
          <w:rFonts w:ascii="Times New Roman" w:eastAsia="Arial" w:hAnsi="Times New Roman" w:cs="Times New Roman"/>
          <w:b/>
          <w:bCs/>
          <w:sz w:val="24"/>
          <w:szCs w:val="24"/>
          <w:lang w:val="en-GB"/>
        </w:rPr>
      </w:pPr>
      <w:r w:rsidRPr="000B4DCF">
        <w:rPr>
          <w:rFonts w:ascii="Times New Roman" w:eastAsia="Arial" w:hAnsi="Times New Roman" w:cs="Times New Roman"/>
          <w:b/>
          <w:bCs/>
          <w:sz w:val="24"/>
          <w:szCs w:val="24"/>
          <w:lang w:val="en-GB"/>
        </w:rPr>
        <w:t>Implementation</w:t>
      </w:r>
    </w:p>
    <w:p w14:paraId="2B384E86" w14:textId="77777777" w:rsidR="000B4DCF" w:rsidRPr="000B4DCF" w:rsidRDefault="000B4DCF" w:rsidP="000B4DCF">
      <w:pPr>
        <w:spacing w:after="3" w:line="480" w:lineRule="auto"/>
        <w:ind w:right="1153"/>
        <w:jc w:val="both"/>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Lead investigators at recruiting hospitals randomize their patients to surgical treatment with or without deltoid ligament suture after consent before surgery in eFORSK and collect and plot information from treatment and first follow up at 6 weeks after surgery. Thereafter major adverse events and measurement from follow up x-rays are managed and reported locally at recruiting centres. The PhD candidate is responsible for conducting e-surveys, supporting the collaborating hospitals in recruitment of patients, treatment and follow up, and to conduct analysis and write manuscripts.</w:t>
      </w:r>
    </w:p>
    <w:p w14:paraId="2A29274C" w14:textId="77777777" w:rsidR="000B4DCF" w:rsidRPr="000B4DCF" w:rsidRDefault="000B4DCF" w:rsidP="000B4DCF">
      <w:pPr>
        <w:spacing w:after="3" w:line="480" w:lineRule="auto"/>
        <w:ind w:left="-5" w:right="52" w:hanging="10"/>
        <w:jc w:val="both"/>
        <w:divId w:val="1966427447"/>
        <w:rPr>
          <w:rFonts w:ascii="Times New Roman" w:eastAsia="Arial" w:hAnsi="Times New Roman" w:cs="Times New Roman"/>
          <w:b/>
          <w:bCs/>
          <w:sz w:val="24"/>
          <w:szCs w:val="24"/>
          <w:u w:color="000000"/>
          <w:lang w:val="en-GB"/>
        </w:rPr>
      </w:pPr>
    </w:p>
    <w:p w14:paraId="07D5666E" w14:textId="77777777" w:rsidR="000B4DCF" w:rsidRPr="000B4DCF" w:rsidRDefault="000B4DCF" w:rsidP="000B4DCF">
      <w:pPr>
        <w:spacing w:after="3" w:line="480" w:lineRule="auto"/>
        <w:ind w:left="-5" w:right="52" w:hanging="10"/>
        <w:jc w:val="both"/>
        <w:divId w:val="1966427447"/>
        <w:rPr>
          <w:rFonts w:ascii="Times New Roman" w:eastAsia="Arial" w:hAnsi="Times New Roman" w:cs="Times New Roman"/>
          <w:sz w:val="24"/>
          <w:szCs w:val="24"/>
          <w:lang w:val="en-GB"/>
        </w:rPr>
      </w:pPr>
      <w:r w:rsidRPr="000B4DCF">
        <w:rPr>
          <w:rFonts w:ascii="Times New Roman" w:eastAsia="Arial" w:hAnsi="Times New Roman" w:cs="Times New Roman"/>
          <w:b/>
          <w:bCs/>
          <w:sz w:val="24"/>
          <w:szCs w:val="24"/>
          <w:u w:color="000000"/>
          <w:lang w:val="en-GB"/>
        </w:rPr>
        <w:t>Statistical analysis</w:t>
      </w:r>
      <w:r w:rsidRPr="000B4DCF">
        <w:rPr>
          <w:rFonts w:ascii="Times New Roman" w:eastAsia="Arial" w:hAnsi="Times New Roman" w:cs="Times New Roman"/>
          <w:sz w:val="24"/>
          <w:szCs w:val="24"/>
          <w:lang w:val="en-GB"/>
        </w:rPr>
        <w:t xml:space="preserve"> </w:t>
      </w:r>
    </w:p>
    <w:p w14:paraId="20C738F1" w14:textId="77777777" w:rsidR="000B4DCF" w:rsidRPr="000B4DCF" w:rsidRDefault="000B4DCF" w:rsidP="000B4DCF">
      <w:pPr>
        <w:spacing w:line="480" w:lineRule="auto"/>
        <w:divId w:val="1966427447"/>
        <w:rPr>
          <w:rStyle w:val="apple-converted-space"/>
          <w:rFonts w:ascii="Times New Roman" w:hAnsi="Times New Roman" w:cs="Times New Roman"/>
          <w:sz w:val="24"/>
          <w:szCs w:val="24"/>
          <w:shd w:val="clear" w:color="auto" w:fill="FFFFFF"/>
          <w:lang w:val="en-GB"/>
        </w:rPr>
      </w:pPr>
      <w:r w:rsidRPr="000B4DCF">
        <w:rPr>
          <w:rFonts w:ascii="Times New Roman" w:eastAsia="Arial" w:hAnsi="Times New Roman" w:cs="Times New Roman"/>
          <w:sz w:val="24"/>
          <w:szCs w:val="24"/>
          <w:lang w:val="en-GB"/>
        </w:rPr>
        <w:t xml:space="preserve">Descriptive data will be presented as means with standard deviations, medians with range or frequencies, and percentages when appropriate. The non-parametric Mann-Whitney U test will be used to compare groups where data are skewed, for instance for PROM-results. A two-sided t-test will be used to analyse differences for normally </w:t>
      </w:r>
      <w:r w:rsidRPr="000B4DCF">
        <w:rPr>
          <w:rFonts w:ascii="Times New Roman" w:eastAsia="Arial" w:hAnsi="Times New Roman" w:cs="Times New Roman"/>
          <w:sz w:val="24"/>
          <w:szCs w:val="24"/>
          <w:lang w:val="en-GB"/>
        </w:rPr>
        <w:lastRenderedPageBreak/>
        <w:t xml:space="preserve">distributed data. Categorical data will be analyzed using the Fisher exact test. </w:t>
      </w:r>
      <w:bookmarkStart w:id="3" w:name="_Hlk206060734"/>
      <w:r w:rsidRPr="000B4DCF">
        <w:rPr>
          <w:rFonts w:ascii="Times New Roman" w:eastAsia="Arial" w:hAnsi="Times New Roman" w:cs="Times New Roman"/>
          <w:sz w:val="24"/>
          <w:szCs w:val="24"/>
          <w:lang w:val="en-GB"/>
        </w:rPr>
        <w:t>We will conduct logarithmic transformation and linear regression or if more appropriate quartile regression, for multivariate regression using the generalized estimating equation model</w:t>
      </w:r>
      <w:bookmarkEnd w:id="3"/>
      <w:r w:rsidRPr="000B4DCF">
        <w:rPr>
          <w:rFonts w:ascii="Times New Roman" w:eastAsia="Arial" w:hAnsi="Times New Roman" w:cs="Times New Roman"/>
          <w:sz w:val="24"/>
          <w:szCs w:val="24"/>
          <w:lang w:val="en-GB"/>
        </w:rPr>
        <w:t xml:space="preserve">. Data will be analysed using the IBM SPSS Statistics and STATA. The significance level is set to 5%. Comparisons will also be done between different groups of stratification and the 25% of patients having the worst outcome in each treatment arm. All statistical analyses will be performed in cooperation with the statisticians at ØHT and NTNU. </w:t>
      </w:r>
      <w:r w:rsidRPr="000B4DCF">
        <w:rPr>
          <w:rFonts w:ascii="Times New Roman" w:hAnsi="Times New Roman" w:cs="Times New Roman"/>
          <w:sz w:val="24"/>
          <w:szCs w:val="24"/>
          <w:shd w:val="clear" w:color="auto" w:fill="FFFFFF"/>
          <w:lang w:val="en-GB"/>
        </w:rPr>
        <w:t>Reasons for ineligibility, non-compliance, withdrawal, or other protocol violations will be stated, and any patterns will be summarised.</w:t>
      </w:r>
      <w:r w:rsidRPr="000B4DCF">
        <w:rPr>
          <w:rStyle w:val="apple-converted-space"/>
          <w:rFonts w:ascii="Times New Roman" w:hAnsi="Times New Roman" w:cs="Times New Roman"/>
          <w:sz w:val="24"/>
          <w:szCs w:val="24"/>
          <w:shd w:val="clear" w:color="auto" w:fill="FFFFFF"/>
          <w:lang w:val="en-GB"/>
        </w:rPr>
        <w:t xml:space="preserve"> A more detailed statistical plan is available as </w:t>
      </w:r>
      <w:r w:rsidRPr="000B4DCF">
        <w:rPr>
          <w:rStyle w:val="apple-converted-space"/>
          <w:rFonts w:ascii="Times New Roman" w:hAnsi="Times New Roman" w:cs="Times New Roman"/>
          <w:i/>
          <w:iCs/>
          <w:sz w:val="24"/>
          <w:szCs w:val="24"/>
          <w:shd w:val="clear" w:color="auto" w:fill="FFFFFF"/>
          <w:lang w:val="en-GB"/>
        </w:rPr>
        <w:t>Supplementary file 2</w:t>
      </w:r>
      <w:r w:rsidRPr="000B4DCF">
        <w:rPr>
          <w:rStyle w:val="apple-converted-space"/>
          <w:rFonts w:ascii="Times New Roman" w:hAnsi="Times New Roman" w:cs="Times New Roman"/>
          <w:sz w:val="24"/>
          <w:szCs w:val="24"/>
          <w:shd w:val="clear" w:color="auto" w:fill="FFFFFF"/>
          <w:lang w:val="en-GB"/>
        </w:rPr>
        <w:t>.</w:t>
      </w:r>
    </w:p>
    <w:p w14:paraId="15E04B1F" w14:textId="77777777" w:rsidR="000B4DCF" w:rsidRPr="000B4DCF" w:rsidRDefault="000B4DCF" w:rsidP="000B4DCF">
      <w:pPr>
        <w:spacing w:line="480" w:lineRule="auto"/>
        <w:divId w:val="1966427447"/>
        <w:rPr>
          <w:rFonts w:ascii="Times New Roman" w:eastAsia="Arial" w:hAnsi="Times New Roman" w:cs="Times New Roman"/>
          <w:sz w:val="24"/>
          <w:szCs w:val="24"/>
          <w:u w:val="single" w:color="000000"/>
          <w:lang w:val="en-GB"/>
        </w:rPr>
      </w:pPr>
    </w:p>
    <w:p w14:paraId="58AEA85F" w14:textId="77777777" w:rsidR="000B4DCF" w:rsidRPr="000B4DCF" w:rsidRDefault="000B4DCF" w:rsidP="000B4DCF">
      <w:pPr>
        <w:spacing w:after="160" w:line="480" w:lineRule="auto"/>
        <w:divId w:val="1966427447"/>
        <w:rPr>
          <w:rFonts w:ascii="Times New Roman" w:eastAsia="Arial" w:hAnsi="Times New Roman" w:cs="Times New Roman"/>
          <w:sz w:val="24"/>
          <w:szCs w:val="24"/>
          <w:lang w:val="en-GB"/>
        </w:rPr>
      </w:pPr>
      <w:r w:rsidRPr="000B4DCF">
        <w:rPr>
          <w:rFonts w:ascii="Times New Roman" w:eastAsia="Arial" w:hAnsi="Times New Roman" w:cs="Times New Roman"/>
          <w:b/>
          <w:bCs/>
          <w:sz w:val="24"/>
          <w:szCs w:val="24"/>
          <w:lang w:val="en-GB"/>
        </w:rPr>
        <w:t>Funding</w:t>
      </w:r>
      <w:r w:rsidRPr="000B4DCF">
        <w:rPr>
          <w:rFonts w:ascii="Times New Roman" w:eastAsia="Arial" w:hAnsi="Times New Roman" w:cs="Times New Roman"/>
          <w:b/>
          <w:bCs/>
          <w:sz w:val="24"/>
          <w:szCs w:val="24"/>
          <w:lang w:val="en-GB"/>
        </w:rPr>
        <w:br/>
      </w:r>
      <w:r w:rsidRPr="000B4DCF">
        <w:rPr>
          <w:rFonts w:ascii="Times New Roman" w:eastAsia="Arial" w:hAnsi="Times New Roman" w:cs="Times New Roman"/>
          <w:sz w:val="24"/>
          <w:szCs w:val="24"/>
          <w:lang w:val="en-GB"/>
        </w:rPr>
        <w:t>South-Eastern Norway Regional Health Authority has granted ØHT 50% employment of the PhD candidate for 6 years from August</w:t>
      </w:r>
      <w:r w:rsidRPr="000B4DCF">
        <w:rPr>
          <w:rFonts w:ascii="Times New Roman" w:eastAsia="Arial" w:hAnsi="Times New Roman" w:cs="Times New Roman"/>
          <w:sz w:val="24"/>
          <w:szCs w:val="24"/>
          <w:vertAlign w:val="superscript"/>
          <w:lang w:val="en-GB"/>
        </w:rPr>
        <w:t xml:space="preserve"> </w:t>
      </w:r>
      <w:r w:rsidRPr="000B4DCF">
        <w:rPr>
          <w:rFonts w:ascii="Times New Roman" w:eastAsia="Arial" w:hAnsi="Times New Roman" w:cs="Times New Roman"/>
          <w:sz w:val="24"/>
          <w:szCs w:val="24"/>
          <w:lang w:val="en-GB"/>
        </w:rPr>
        <w:t xml:space="preserve">2024. The research department of ØHT has guaranteed to cover costs for trial-related x-ray surveys, open access publishing and presenting our research at international conferences. </w:t>
      </w:r>
    </w:p>
    <w:p w14:paraId="3F7E229F" w14:textId="77777777" w:rsidR="000B4DCF" w:rsidRPr="000B4DCF" w:rsidRDefault="000B4DCF" w:rsidP="000B4DCF">
      <w:pPr>
        <w:spacing w:after="167" w:line="480" w:lineRule="auto"/>
        <w:ind w:left="-5" w:right="51" w:hanging="10"/>
        <w:divId w:val="1966427447"/>
        <w:rPr>
          <w:rFonts w:ascii="Times New Roman" w:eastAsia="Arial" w:hAnsi="Times New Roman" w:cs="Times New Roman"/>
          <w:b/>
          <w:bCs/>
          <w:sz w:val="24"/>
          <w:szCs w:val="24"/>
          <w:lang w:val="en-GB"/>
        </w:rPr>
      </w:pPr>
      <w:r w:rsidRPr="000B4DCF">
        <w:rPr>
          <w:rFonts w:ascii="Times New Roman" w:eastAsia="Arial" w:hAnsi="Times New Roman" w:cs="Times New Roman"/>
          <w:b/>
          <w:bCs/>
          <w:sz w:val="24"/>
          <w:szCs w:val="24"/>
          <w:lang w:val="en-GB"/>
        </w:rPr>
        <w:t>Data safety and monitoring board (DSMB)</w:t>
      </w:r>
      <w:r w:rsidRPr="000B4DCF">
        <w:rPr>
          <w:rFonts w:ascii="Times New Roman" w:eastAsia="Arial" w:hAnsi="Times New Roman" w:cs="Times New Roman"/>
          <w:sz w:val="24"/>
          <w:szCs w:val="24"/>
          <w:lang w:val="en-GB"/>
        </w:rPr>
        <w:br/>
        <w:t xml:space="preserve">Are H. Stødle, MD, PhD, consultant orthopaedic surgeon, Oslo University Hospital and Mette Andersen, MD, PhD, consultant orthopaedic surgeon, Aleris Hospital, Tromsø and Vestre Viken HT, have a mandate to stop the study if untoward effects are observed. Adverse events will be reported every 6 months and preliminary results from the first 30 patients 12 weeks follow up presented. Interim analysis of patient reported functional outcome and adverse events each treatment arms after 60 patients at follow up of 1 year. </w:t>
      </w:r>
    </w:p>
    <w:p w14:paraId="65030CFE" w14:textId="77777777" w:rsidR="000B4DCF" w:rsidRPr="000B4DCF" w:rsidRDefault="000B4DCF" w:rsidP="000B4DCF">
      <w:pPr>
        <w:spacing w:line="480" w:lineRule="auto"/>
        <w:divId w:val="1966427447"/>
        <w:rPr>
          <w:rFonts w:ascii="Times New Roman" w:hAnsi="Times New Roman" w:cs="Times New Roman"/>
          <w:b/>
          <w:bCs/>
          <w:sz w:val="24"/>
          <w:szCs w:val="24"/>
          <w:lang w:val="en-GB"/>
        </w:rPr>
      </w:pPr>
      <w:r w:rsidRPr="000B4DCF">
        <w:rPr>
          <w:rFonts w:ascii="Times New Roman" w:hAnsi="Times New Roman" w:cs="Times New Roman"/>
          <w:b/>
          <w:bCs/>
          <w:sz w:val="24"/>
          <w:szCs w:val="24"/>
          <w:lang w:val="en-GB"/>
        </w:rPr>
        <w:t>Ethics</w:t>
      </w:r>
    </w:p>
    <w:p w14:paraId="4116674E" w14:textId="77777777" w:rsidR="000B4DCF" w:rsidRPr="000B4DCF" w:rsidRDefault="000B4DCF" w:rsidP="000B4DCF">
      <w:pPr>
        <w:spacing w:line="480" w:lineRule="auto"/>
        <w:divId w:val="1966427447"/>
        <w:rPr>
          <w:rFonts w:ascii="Times New Roman" w:eastAsia="Arial" w:hAnsi="Times New Roman" w:cs="Times New Roman"/>
          <w:b/>
          <w:sz w:val="24"/>
          <w:szCs w:val="24"/>
          <w:lang w:val="en-GB"/>
        </w:rPr>
      </w:pPr>
      <w:r w:rsidRPr="000B4DCF">
        <w:rPr>
          <w:rFonts w:ascii="Times New Roman" w:eastAsia="Arial" w:hAnsi="Times New Roman" w:cs="Times New Roman"/>
          <w:sz w:val="24"/>
          <w:szCs w:val="24"/>
          <w:lang w:val="en-GB"/>
        </w:rPr>
        <w:lastRenderedPageBreak/>
        <w:t>The Regional Committee for Medical and Health Research Ethics (REK Sørøst, ref. 496556) and the Data Protection Officers at all collaborating hospitals have approved patient recruitment to this trial. Participation is based on consent. Data collection and management will fulfil terms in approvals.</w:t>
      </w:r>
      <w:r w:rsidRPr="000B4DCF">
        <w:rPr>
          <w:rFonts w:ascii="Times New Roman" w:eastAsia="Arial" w:hAnsi="Times New Roman" w:cs="Times New Roman"/>
          <w:b/>
          <w:sz w:val="24"/>
          <w:szCs w:val="24"/>
          <w:lang w:val="en-GB"/>
        </w:rPr>
        <w:t xml:space="preserve"> </w:t>
      </w:r>
      <w:r w:rsidRPr="000B4DCF">
        <w:rPr>
          <w:rFonts w:ascii="Times New Roman" w:eastAsia="Arial" w:hAnsi="Times New Roman" w:cs="Times New Roman"/>
          <w:sz w:val="24"/>
          <w:szCs w:val="24"/>
          <w:lang w:val="en-GB"/>
        </w:rPr>
        <w:t xml:space="preserve">Patients have been interviewed on the content in the PROMs and hence contribute to the development of Norwegian translations. Inger Lise Broen has taken part in our work as a user representative from the Consumer board of ØHT. She has given constructive feedback on layout and content on written patient information </w:t>
      </w:r>
    </w:p>
    <w:p w14:paraId="1385FEEB" w14:textId="77777777" w:rsidR="000B4DCF" w:rsidRPr="000B4DCF" w:rsidRDefault="000B4DCF" w:rsidP="000B4DCF">
      <w:pPr>
        <w:spacing w:line="480" w:lineRule="auto"/>
        <w:divId w:val="1966427447"/>
        <w:rPr>
          <w:rFonts w:ascii="Times New Roman" w:eastAsia="Arial" w:hAnsi="Times New Roman" w:cs="Times New Roman"/>
          <w:sz w:val="24"/>
          <w:szCs w:val="24"/>
          <w:lang w:val="en-GB"/>
        </w:rPr>
      </w:pPr>
    </w:p>
    <w:p w14:paraId="16914036" w14:textId="77777777" w:rsidR="000B4DCF" w:rsidRPr="000B4DCF" w:rsidRDefault="000B4DCF" w:rsidP="000B4DCF">
      <w:pPr>
        <w:spacing w:after="169" w:line="480" w:lineRule="auto"/>
        <w:ind w:left="-5" w:right="52" w:hanging="10"/>
        <w:divId w:val="1966427447"/>
        <w:rPr>
          <w:rFonts w:ascii="Times New Roman" w:eastAsia="Arial" w:hAnsi="Times New Roman" w:cs="Times New Roman"/>
          <w:sz w:val="24"/>
          <w:szCs w:val="24"/>
          <w:lang w:val="en-GB"/>
        </w:rPr>
      </w:pPr>
      <w:r w:rsidRPr="000B4DCF">
        <w:rPr>
          <w:rFonts w:ascii="Times New Roman" w:eastAsia="Arial" w:hAnsi="Times New Roman" w:cs="Times New Roman"/>
          <w:b/>
          <w:bCs/>
          <w:sz w:val="24"/>
          <w:szCs w:val="24"/>
          <w:lang w:val="en-GB"/>
        </w:rPr>
        <w:t>Potential harm</w:t>
      </w:r>
      <w:r w:rsidRPr="000B4DCF">
        <w:rPr>
          <w:rFonts w:ascii="Times New Roman" w:eastAsia="Arial" w:hAnsi="Times New Roman" w:cs="Times New Roman"/>
          <w:b/>
          <w:bCs/>
          <w:sz w:val="24"/>
          <w:szCs w:val="24"/>
          <w:lang w:val="en-GB"/>
        </w:rPr>
        <w:br/>
      </w:r>
      <w:r w:rsidRPr="000B4DCF">
        <w:rPr>
          <w:rFonts w:ascii="Times New Roman" w:eastAsia="Arial" w:hAnsi="Times New Roman" w:cs="Times New Roman"/>
          <w:sz w:val="24"/>
          <w:szCs w:val="24"/>
          <w:lang w:val="en-GB"/>
        </w:rPr>
        <w:t xml:space="preserve">One can expect some side effects from one additional step in a surgical procedure. Side effects can be pain from the posterior tibial tendon or ankle stiffness or problems from the ankle or subtalar joint after deltoid ligament suture in case of malplacement of the anchor/ligament suture. Not yet being an everyday procedure, deltoid ligament repair might be challenging to perform for other than foot and ankle surgeons or experienced trauma surgeons. The protocol states that one of such surgeons are to take part in the surgical procedures. We do not find deltoid ligament repair difficult to teach. We believe that the moderate risk implied by this ligament suture may be outweighed by improved talar reduction, ankle stability and function. We will of course offer collaborating hospitals teaching in our procedure for deep deltoid ligament repair.  </w:t>
      </w:r>
    </w:p>
    <w:p w14:paraId="5D590BFE" w14:textId="77777777" w:rsidR="000B4DCF" w:rsidRPr="000B4DCF" w:rsidRDefault="000B4DCF" w:rsidP="000B4DCF">
      <w:pPr>
        <w:spacing w:line="480" w:lineRule="auto"/>
        <w:ind w:left="-5" w:right="51" w:hanging="10"/>
        <w:divId w:val="1966427447"/>
        <w:rPr>
          <w:rFonts w:ascii="Times New Roman" w:hAnsi="Times New Roman" w:cs="Times New Roman"/>
          <w:b/>
          <w:bCs/>
          <w:sz w:val="24"/>
          <w:szCs w:val="24"/>
          <w:lang w:val="en-GB"/>
        </w:rPr>
      </w:pPr>
      <w:r w:rsidRPr="000B4DCF">
        <w:rPr>
          <w:rFonts w:ascii="Times New Roman" w:eastAsia="Arial" w:hAnsi="Times New Roman" w:cs="Times New Roman"/>
          <w:b/>
          <w:bCs/>
          <w:sz w:val="24"/>
          <w:szCs w:val="24"/>
          <w:lang w:val="en-GB"/>
        </w:rPr>
        <w:t>Discussion</w:t>
      </w:r>
    </w:p>
    <w:p w14:paraId="3C2DE7D7" w14:textId="77777777" w:rsidR="000B4DCF" w:rsidRPr="000B4DCF" w:rsidRDefault="000B4DCF" w:rsidP="000B4DCF">
      <w:pPr>
        <w:spacing w:line="480" w:lineRule="auto"/>
        <w:divId w:val="1966427447"/>
        <w:rPr>
          <w:rFonts w:ascii="Times New Roman" w:eastAsia="Arial" w:hAnsi="Times New Roman" w:cs="Times New Roman"/>
          <w:sz w:val="24"/>
          <w:szCs w:val="24"/>
          <w:lang w:val="en-GB"/>
        </w:rPr>
      </w:pPr>
      <w:bookmarkStart w:id="4" w:name="_Hlk170807372"/>
      <w:r w:rsidRPr="000B4DCF">
        <w:rPr>
          <w:rFonts w:ascii="Times New Roman" w:eastAsia="Arial" w:hAnsi="Times New Roman" w:cs="Times New Roman"/>
          <w:sz w:val="24"/>
          <w:szCs w:val="24"/>
          <w:lang w:val="en-GB"/>
        </w:rPr>
        <w:t xml:space="preserve">The results from our trial will add some knowledge to the understanding of unstable ankle fractures and what treatment is necessary. Different options have been discussed before choosing treatment arms, also simply deltoid ligament repair without plating of the lateral malleolus, to turn a Lauge-Hansen SER4B into a SER2 fracture, a fracture </w:t>
      </w:r>
      <w:r w:rsidRPr="000B4DCF">
        <w:rPr>
          <w:rFonts w:ascii="Times New Roman" w:eastAsia="Arial" w:hAnsi="Times New Roman" w:cs="Times New Roman"/>
          <w:sz w:val="24"/>
          <w:szCs w:val="24"/>
          <w:lang w:val="en-GB"/>
        </w:rPr>
        <w:lastRenderedPageBreak/>
        <w:t>that could be treated without surgery. This suggestion was found to be too controversial.</w:t>
      </w:r>
    </w:p>
    <w:p w14:paraId="4823F168" w14:textId="77777777" w:rsidR="000B4DCF" w:rsidRPr="000B4DCF" w:rsidRDefault="000B4DCF" w:rsidP="000B4DCF">
      <w:pPr>
        <w:spacing w:line="480" w:lineRule="auto"/>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Another debate has been whether the ligament suture should be protected better than our minimum requirements of aftertreatment of two weeks in cast or walker boot. Orthosis is optional after two weeks. No further protection this early in the rehabilitation process may cause a loss of the potential effect of ligament suture.</w:t>
      </w:r>
    </w:p>
    <w:p w14:paraId="25F0F581" w14:textId="77777777" w:rsidR="000B4DCF" w:rsidRPr="000B4DCF" w:rsidRDefault="000B4DCF" w:rsidP="000B4DCF">
      <w:pPr>
        <w:spacing w:line="480" w:lineRule="auto"/>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 xml:space="preserve">During the planning of this trial, we became aware of differences in traditions between recruiting hospitals in choice of implants (anatomic or traditional 1/3 tube plates), buttons or syndesmotic screws and the threshold to use them or not. One hospital already used deep posterior deltoid ligament suture as the main supplement to osteosynthesis of the lateral malleolus. We know that a trans-syndesmotic fixation has a synergistic effect to deltoid ligament repair in stabilizing the ankle fork around the talus, and probably holding the torn deltoid ligament ends in proximity in most cases. Several of us have seen an ankle still being unstable after lateral plating, where the pathological medial talar tilt almost disappears after a trans-syndesmotic fixation. </w:t>
      </w:r>
    </w:p>
    <w:p w14:paraId="28071DB9" w14:textId="77777777" w:rsidR="000B4DCF" w:rsidRPr="000B4DCF" w:rsidRDefault="000B4DCF" w:rsidP="000B4DCF">
      <w:pPr>
        <w:spacing w:line="480" w:lineRule="auto"/>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 xml:space="preserve">We see the risk of trans-syndesmotic fixations hiding the potential effect of deep posterior deltoid ligament repair. </w:t>
      </w:r>
    </w:p>
    <w:p w14:paraId="340BFD1A" w14:textId="77777777" w:rsidR="000B4DCF" w:rsidRPr="000B4DCF" w:rsidRDefault="000B4DCF" w:rsidP="000B4DCF">
      <w:pPr>
        <w:spacing w:line="480" w:lineRule="auto"/>
        <w:divId w:val="1966427447"/>
        <w:rPr>
          <w:rFonts w:ascii="Times New Roman" w:eastAsia="Arial" w:hAnsi="Times New Roman" w:cs="Times New Roman"/>
          <w:sz w:val="24"/>
          <w:szCs w:val="24"/>
          <w:lang w:val="en-GB"/>
        </w:rPr>
      </w:pPr>
      <w:r w:rsidRPr="000B4DCF">
        <w:rPr>
          <w:rFonts w:ascii="Times New Roman" w:eastAsia="Arial" w:hAnsi="Times New Roman" w:cs="Times New Roman"/>
          <w:sz w:val="24"/>
          <w:szCs w:val="24"/>
          <w:lang w:val="en-GB"/>
        </w:rPr>
        <w:t xml:space="preserve">Nor do we know the effect of trans-syndesmotic fixation in a sample of SER4B fractures. This could have been a third arm of treatment. At the same time, we know that trans-syndesmotic fixations carry a high malreduction rate and the need of implant removal is quite frequent. When we were about to start the trial, realizing that established practice differs, we could not defend prohibiting the use of trans-syndesmotic implants in either group. The chosen arms of treatment attempts to be a pragmatic approach where the main difference between the groups will be whether the deep posterior deltoid ligament is repaired or not. Thereby we acknowledge that the solely plating treatment arm may contain several trans-syndesmotic fixations that may compensate for and conceal the true difference in outcome between additional deltoid </w:t>
      </w:r>
      <w:r w:rsidRPr="000B4DCF">
        <w:rPr>
          <w:rFonts w:ascii="Times New Roman" w:eastAsia="Arial" w:hAnsi="Times New Roman" w:cs="Times New Roman"/>
          <w:sz w:val="24"/>
          <w:szCs w:val="24"/>
          <w:lang w:val="en-GB"/>
        </w:rPr>
        <w:lastRenderedPageBreak/>
        <w:t>ligament repair and solely plating. We are aware that the Lauge-Hansen classification does not predict extent of ligament injury precisely, and syndesmotic injury might be more important than fracture level of the fibula. Another weakness of our study is that it lacks a bilateral postoperative ankle CT scan of all patients, especially in cases where transsyndesmotic fixation is performed and malreposition is quite common. Since MRIs are not performed, we miss information about cartilage injuries that might affect patients’ outcomes.</w:t>
      </w:r>
    </w:p>
    <w:p w14:paraId="4AF99F71" w14:textId="77777777" w:rsidR="000B4DCF" w:rsidRPr="000B4DCF" w:rsidRDefault="000B4DCF" w:rsidP="000B4DCF">
      <w:pPr>
        <w:spacing w:line="480" w:lineRule="auto"/>
        <w:divId w:val="1966427447"/>
        <w:rPr>
          <w:rFonts w:ascii="Times New Roman" w:eastAsia="Arial" w:hAnsi="Times New Roman" w:cs="Times New Roman"/>
          <w:sz w:val="24"/>
          <w:szCs w:val="24"/>
          <w:lang w:val="en-GB"/>
        </w:rPr>
      </w:pPr>
    </w:p>
    <w:p w14:paraId="65669973" w14:textId="77777777" w:rsidR="000B4DCF" w:rsidRPr="000B4DCF" w:rsidRDefault="000B4DCF" w:rsidP="000B4DCF">
      <w:pPr>
        <w:spacing w:line="480" w:lineRule="auto"/>
        <w:divId w:val="1966427447"/>
        <w:rPr>
          <w:rFonts w:ascii="Times New Roman" w:eastAsia="Arial" w:hAnsi="Times New Roman" w:cs="Times New Roman"/>
          <w:b/>
          <w:bCs/>
          <w:sz w:val="24"/>
          <w:szCs w:val="24"/>
          <w:lang w:val="en-GB"/>
        </w:rPr>
      </w:pPr>
      <w:r w:rsidRPr="000B4DCF">
        <w:rPr>
          <w:rFonts w:ascii="Times New Roman" w:eastAsia="Arial" w:hAnsi="Times New Roman" w:cs="Times New Roman"/>
          <w:b/>
          <w:bCs/>
          <w:sz w:val="24"/>
          <w:szCs w:val="24"/>
          <w:lang w:val="en-GB"/>
        </w:rPr>
        <w:t>Disseminiation</w:t>
      </w:r>
    </w:p>
    <w:p w14:paraId="2C19C418" w14:textId="77777777" w:rsidR="000B4DCF" w:rsidRPr="000B4DCF" w:rsidRDefault="000B4DCF" w:rsidP="000B4DCF">
      <w:pPr>
        <w:spacing w:line="480" w:lineRule="auto"/>
        <w:divId w:val="1966427447"/>
        <w:rPr>
          <w:rFonts w:ascii="Times New Roman" w:hAnsi="Times New Roman" w:cs="Times New Roman"/>
          <w:sz w:val="24"/>
          <w:szCs w:val="24"/>
          <w:lang w:val="en-GB"/>
        </w:rPr>
      </w:pPr>
      <w:r w:rsidRPr="000B4DCF">
        <w:rPr>
          <w:rFonts w:ascii="Times New Roman" w:eastAsia="Arial" w:hAnsi="Times New Roman" w:cs="Times New Roman"/>
          <w:sz w:val="24"/>
          <w:szCs w:val="24"/>
          <w:lang w:val="en-GB"/>
        </w:rPr>
        <w:t xml:space="preserve">Results will be communicated to attending patients, presented in regional media and </w:t>
      </w:r>
      <w:r w:rsidRPr="000B4DCF">
        <w:rPr>
          <w:rFonts w:ascii="Times New Roman" w:hAnsi="Times New Roman" w:cs="Times New Roman"/>
          <w:sz w:val="24"/>
          <w:szCs w:val="24"/>
          <w:lang w:val="en-GB"/>
        </w:rPr>
        <w:t>published in international peer-reviewed journals and presented at national and international conferences. Both positive and negative results will be reported, and co-authors will meet the criteria for co-authorship as defined by the International Committee of Medical Journal Editors.</w:t>
      </w:r>
    </w:p>
    <w:p w14:paraId="73849519" w14:textId="77777777" w:rsidR="000B4DCF" w:rsidRPr="000B4DCF" w:rsidRDefault="000B4DCF" w:rsidP="000B4DCF">
      <w:pPr>
        <w:spacing w:after="3" w:line="480" w:lineRule="auto"/>
        <w:ind w:left="-5" w:right="52" w:hanging="10"/>
        <w:divId w:val="1966427447"/>
        <w:rPr>
          <w:rFonts w:ascii="Times New Roman" w:eastAsia="Arial" w:hAnsi="Times New Roman" w:cs="Times New Roman"/>
          <w:sz w:val="24"/>
          <w:szCs w:val="24"/>
          <w:lang w:val="en-GB"/>
        </w:rPr>
      </w:pPr>
      <w:bookmarkStart w:id="5" w:name="_Hlk170807288"/>
      <w:bookmarkEnd w:id="4"/>
      <w:r w:rsidRPr="000B4DCF">
        <w:rPr>
          <w:rFonts w:ascii="Times New Roman" w:eastAsia="Arial" w:hAnsi="Times New Roman" w:cs="Times New Roman"/>
          <w:sz w:val="24"/>
          <w:szCs w:val="24"/>
          <w:lang w:val="en-GB"/>
        </w:rPr>
        <w:t>Results from five years follow up will be published separately.</w:t>
      </w:r>
    </w:p>
    <w:p w14:paraId="4058CBC1" w14:textId="77777777" w:rsidR="000B4DCF" w:rsidRPr="000B4DCF" w:rsidRDefault="000B4DCF" w:rsidP="000B4DCF">
      <w:pPr>
        <w:spacing w:after="271" w:line="480" w:lineRule="auto"/>
        <w:ind w:right="51"/>
        <w:divId w:val="1966427447"/>
        <w:rPr>
          <w:rFonts w:ascii="Times New Roman" w:eastAsia="Arial" w:hAnsi="Times New Roman" w:cs="Times New Roman"/>
          <w:b/>
          <w:bCs/>
          <w:lang w:val="en-GB"/>
        </w:rPr>
      </w:pPr>
    </w:p>
    <w:bookmarkEnd w:id="5"/>
    <w:p w14:paraId="298D85B4" w14:textId="77777777" w:rsidR="000B4DCF" w:rsidRPr="000B4DCF" w:rsidRDefault="000B4DCF" w:rsidP="000B4DCF">
      <w:pPr>
        <w:spacing w:line="480" w:lineRule="auto"/>
        <w:divId w:val="1966427447"/>
        <w:rPr>
          <w:rFonts w:ascii="Times New Roman" w:eastAsia="Times New Roman" w:hAnsi="Times New Roman" w:cs="Times New Roman"/>
          <w:color w:val="000000"/>
          <w:szCs w:val="24"/>
          <w:lang w:val="en-GB"/>
        </w:rPr>
      </w:pPr>
      <w:r w:rsidRPr="000B4DCF">
        <w:rPr>
          <w:rFonts w:ascii="Times New Roman" w:eastAsia="Arial" w:hAnsi="Times New Roman" w:cs="Times New Roman"/>
          <w:b/>
          <w:color w:val="1F3864"/>
          <w:lang w:val="en-GB"/>
        </w:rPr>
        <w:t>6. References</w:t>
      </w:r>
    </w:p>
    <w:p w14:paraId="35E6375C" w14:textId="04BDA389" w:rsidR="000B4DCF" w:rsidRPr="000B4DCF" w:rsidRDefault="000B4DCF" w:rsidP="000B4DCF">
      <w:pPr>
        <w:divId w:val="1966427447"/>
        <w:rPr>
          <w:rFonts w:ascii="Times New Roman" w:eastAsia="Times New Roman" w:hAnsi="Times New Roman" w:cs="Times New Roman"/>
          <w:color w:val="000000"/>
          <w:szCs w:val="24"/>
          <w:lang w:val="en-GB"/>
        </w:rPr>
      </w:pPr>
      <w:r w:rsidRPr="000B4DCF">
        <w:rPr>
          <w:rFonts w:ascii="Times New Roman" w:hAnsi="Times New Roman" w:cs="Times New Roman"/>
          <w:color w:val="000000"/>
          <w:lang w:val="en-GB"/>
        </w:rPr>
        <w:t xml:space="preserve"> </w:t>
      </w:r>
    </w:p>
    <w:p w14:paraId="1B65F270" w14:textId="77777777" w:rsidR="000B4DCF" w:rsidRPr="000B4DCF" w:rsidRDefault="000B4DCF" w:rsidP="000B4DCF">
      <w:pPr>
        <w:divId w:val="1966427447"/>
        <w:rPr>
          <w:rFonts w:ascii="Times New Roman" w:eastAsia="Times New Roman" w:hAnsi="Times New Roman" w:cs="Times New Roman"/>
          <w:color w:val="000000"/>
          <w:szCs w:val="24"/>
          <w:lang w:val="en-GB"/>
        </w:rPr>
      </w:pPr>
      <w:r w:rsidRPr="000B4DCF">
        <w:rPr>
          <w:rFonts w:ascii="Times New Roman" w:hAnsi="Times New Roman" w:cs="Times New Roman"/>
          <w:color w:val="000000"/>
          <w:lang w:val="en-GB"/>
        </w:rPr>
        <w:t xml:space="preserve"> </w:t>
      </w:r>
    </w:p>
    <w:p w14:paraId="311262A5"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50" w:history="1">
        <w:r w:rsidRPr="000B4DCF">
          <w:rPr>
            <w:rStyle w:val="csl-left-margin"/>
            <w:color w:val="000000"/>
            <w:sz w:val="22"/>
            <w:lang w:val="en-GB"/>
          </w:rPr>
          <w:t>1. </w:t>
        </w:r>
        <w:r w:rsidRPr="000B4DCF">
          <w:rPr>
            <w:rStyle w:val="csl-left-margin"/>
            <w:color w:val="000000"/>
            <w:sz w:val="22"/>
          </w:rPr>
          <w:t>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Berkowitz MJ, Sanders RW, Walling AK. Salvage arthrodesis after failed ankle replacement: surgical decision making. </w:t>
        </w:r>
        <w:r w:rsidRPr="000B4DCF">
          <w:rPr>
            <w:rStyle w:val="csl-right-inline"/>
            <w:i/>
            <w:iCs/>
            <w:color w:val="000000"/>
            <w:sz w:val="22"/>
            <w:lang w:val="en-GB"/>
          </w:rPr>
          <w:t>Foot Ankle Clin</w:t>
        </w:r>
        <w:r w:rsidRPr="000B4DCF">
          <w:rPr>
            <w:rStyle w:val="csl-right-inline"/>
            <w:color w:val="000000"/>
            <w:sz w:val="22"/>
            <w:lang w:val="en-GB"/>
          </w:rPr>
          <w:t>. 2012;17(4):725-740. doi:10.1016/j.fcl.2012.08.009</w:t>
        </w:r>
      </w:hyperlink>
    </w:p>
    <w:p w14:paraId="295F1102"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51" w:history="1">
        <w:r w:rsidRPr="00056148">
          <w:rPr>
            <w:rStyle w:val="csl-left-margin"/>
            <w:color w:val="000000"/>
            <w:sz w:val="22"/>
          </w:rPr>
          <w:t>2. </w:t>
        </w:r>
        <w:r w:rsidRPr="000B4DCF">
          <w:rPr>
            <w:rStyle w:val="csl-left-margin"/>
            <w:color w:val="000000"/>
            <w:sz w:val="22"/>
          </w:rPr>
          <w:t> </w:t>
        </w:r>
        <w:r w:rsidRPr="000B4DCF">
          <w:rPr>
            <w:rStyle w:val="csl-left-margin"/>
            <w:color w:val="000000"/>
            <w:sz w:val="22"/>
          </w:rPr>
          <w:t> </w:t>
        </w:r>
        <w:r w:rsidRPr="000B4DCF">
          <w:rPr>
            <w:rStyle w:val="csl-left-margin"/>
            <w:color w:val="000000"/>
            <w:sz w:val="22"/>
          </w:rPr>
          <w:t> </w:t>
        </w:r>
        <w:r w:rsidRPr="00056148">
          <w:rPr>
            <w:rStyle w:val="csl-right-inline"/>
            <w:color w:val="000000"/>
            <w:sz w:val="22"/>
          </w:rPr>
          <w:t xml:space="preserve">Brodke DJ, Saltzman CL, Brodke DS. </w:t>
        </w:r>
        <w:r w:rsidRPr="000B4DCF">
          <w:rPr>
            <w:rStyle w:val="csl-right-inline"/>
            <w:color w:val="000000"/>
            <w:sz w:val="22"/>
            <w:lang w:val="en-GB"/>
          </w:rPr>
          <w:t xml:space="preserve">PROMIS for orthopaedic outcomes measurement. </w:t>
        </w:r>
        <w:r w:rsidRPr="000B4DCF">
          <w:rPr>
            <w:rStyle w:val="csl-right-inline"/>
            <w:i/>
            <w:iCs/>
            <w:color w:val="000000"/>
            <w:sz w:val="22"/>
            <w:lang w:val="en-GB"/>
          </w:rPr>
          <w:t>J Am Acad Orthop Surg</w:t>
        </w:r>
        <w:r w:rsidRPr="000B4DCF">
          <w:rPr>
            <w:rStyle w:val="csl-right-inline"/>
            <w:color w:val="000000"/>
            <w:sz w:val="22"/>
            <w:lang w:val="en-GB"/>
          </w:rPr>
          <w:t>. 2016;24(11):744-749. doi:10.5435/JAAOS-D-15-00404</w:t>
        </w:r>
      </w:hyperlink>
    </w:p>
    <w:p w14:paraId="3F1C54FD"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52" w:history="1">
        <w:r w:rsidRPr="00056148">
          <w:rPr>
            <w:rStyle w:val="csl-left-margin"/>
            <w:color w:val="000000"/>
            <w:sz w:val="22"/>
          </w:rPr>
          <w:t>3. </w:t>
        </w:r>
        <w:r w:rsidRPr="000B4DCF">
          <w:rPr>
            <w:rStyle w:val="csl-left-margin"/>
            <w:color w:val="000000"/>
            <w:sz w:val="22"/>
          </w:rPr>
          <w:t> </w:t>
        </w:r>
        <w:r w:rsidRPr="000B4DCF">
          <w:rPr>
            <w:rStyle w:val="csl-left-margin"/>
            <w:color w:val="000000"/>
            <w:sz w:val="22"/>
          </w:rPr>
          <w:t> </w:t>
        </w:r>
        <w:r w:rsidRPr="000B4DCF">
          <w:rPr>
            <w:rStyle w:val="csl-left-margin"/>
            <w:color w:val="000000"/>
            <w:sz w:val="22"/>
          </w:rPr>
          <w:t> </w:t>
        </w:r>
        <w:r w:rsidRPr="00056148">
          <w:rPr>
            <w:rStyle w:val="csl-right-inline"/>
            <w:color w:val="000000"/>
            <w:sz w:val="22"/>
          </w:rPr>
          <w:t xml:space="preserve">Butler BA, Hempen EC, Barbosa M, et al. </w:t>
        </w:r>
        <w:r w:rsidRPr="000B4DCF">
          <w:rPr>
            <w:rStyle w:val="csl-right-inline"/>
            <w:color w:val="000000"/>
            <w:sz w:val="22"/>
            <w:lang w:val="en-GB"/>
          </w:rPr>
          <w:t xml:space="preserve">Deltoid ligament repair reduces and stabilizes the talus in unstable ankle fractures. </w:t>
        </w:r>
        <w:r w:rsidRPr="000B4DCF">
          <w:rPr>
            <w:rStyle w:val="csl-right-inline"/>
            <w:i/>
            <w:iCs/>
            <w:color w:val="000000"/>
            <w:sz w:val="22"/>
            <w:lang w:val="en-GB"/>
          </w:rPr>
          <w:t>J Orthop</w:t>
        </w:r>
        <w:r w:rsidRPr="000B4DCF">
          <w:rPr>
            <w:rStyle w:val="csl-right-inline"/>
            <w:color w:val="000000"/>
            <w:sz w:val="22"/>
            <w:lang w:val="en-GB"/>
          </w:rPr>
          <w:t>. 2020;17:87-90. doi:10.1016/j.jor.2019.06.005</w:t>
        </w:r>
      </w:hyperlink>
    </w:p>
    <w:p w14:paraId="3CF550E4"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53" w:history="1">
        <w:r w:rsidRPr="000B4DCF">
          <w:rPr>
            <w:rStyle w:val="csl-left-margin"/>
            <w:color w:val="000000"/>
            <w:sz w:val="22"/>
            <w:lang w:val="en-GB"/>
          </w:rPr>
          <w:t>4. </w:t>
        </w:r>
        <w:r w:rsidRPr="000B4DCF">
          <w:rPr>
            <w:rStyle w:val="csl-left-margin"/>
            <w:color w:val="000000"/>
            <w:sz w:val="22"/>
          </w:rPr>
          <w:t>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Campbell KJ, Michalski MP, Wilson KJ, et al. The ligament anatomy of the deltoid complex of the ankle: a qualitative and quantitative anatomical study. </w:t>
        </w:r>
        <w:r w:rsidRPr="000B4DCF">
          <w:rPr>
            <w:rStyle w:val="csl-right-inline"/>
            <w:i/>
            <w:iCs/>
            <w:color w:val="000000"/>
            <w:sz w:val="22"/>
            <w:lang w:val="en-GB"/>
          </w:rPr>
          <w:t>J Bone Joint Surg Am</w:t>
        </w:r>
        <w:r w:rsidRPr="000B4DCF">
          <w:rPr>
            <w:rStyle w:val="csl-right-inline"/>
            <w:color w:val="000000"/>
            <w:sz w:val="22"/>
            <w:lang w:val="en-GB"/>
          </w:rPr>
          <w:t>. 2014;96(8):e62. doi:10.2106/JBJS.M.00870</w:t>
        </w:r>
      </w:hyperlink>
    </w:p>
    <w:p w14:paraId="2A2D12A5"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54" w:history="1">
        <w:r w:rsidRPr="000B4DCF">
          <w:rPr>
            <w:rStyle w:val="csl-left-margin"/>
            <w:color w:val="000000"/>
            <w:sz w:val="22"/>
            <w:lang w:val="en-GB"/>
          </w:rPr>
          <w:t>5. </w:t>
        </w:r>
        <w:r w:rsidRPr="000B4DCF">
          <w:rPr>
            <w:rStyle w:val="csl-left-margin"/>
            <w:color w:val="000000"/>
            <w:sz w:val="22"/>
          </w:rPr>
          <w:t>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Chan A-W, Boutron I, Hopewell S, et al. SPIRIT 2025 statement: updated guideline for protocols of randomised trials. </w:t>
        </w:r>
        <w:r w:rsidRPr="000B4DCF">
          <w:rPr>
            <w:rStyle w:val="csl-right-inline"/>
            <w:i/>
            <w:iCs/>
            <w:color w:val="000000"/>
            <w:sz w:val="22"/>
            <w:lang w:val="en-GB"/>
          </w:rPr>
          <w:t>BMJ</w:t>
        </w:r>
        <w:r w:rsidRPr="000B4DCF">
          <w:rPr>
            <w:rStyle w:val="csl-right-inline"/>
            <w:color w:val="000000"/>
            <w:sz w:val="22"/>
            <w:lang w:val="en-GB"/>
          </w:rPr>
          <w:t>. 2025;389:e081477. doi:10.1136/bmj-2024-081477</w:t>
        </w:r>
      </w:hyperlink>
    </w:p>
    <w:p w14:paraId="1E31194A"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55" w:history="1">
        <w:r w:rsidRPr="000B4DCF">
          <w:rPr>
            <w:rStyle w:val="csl-left-margin"/>
            <w:color w:val="000000"/>
            <w:sz w:val="22"/>
            <w:lang w:val="en-GB"/>
          </w:rPr>
          <w:t>6. </w:t>
        </w:r>
        <w:r w:rsidRPr="000B4DCF">
          <w:rPr>
            <w:rStyle w:val="csl-left-margin"/>
            <w:color w:val="000000"/>
            <w:sz w:val="22"/>
          </w:rPr>
          <w:t>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Chan A-W, Tetzlaff JM, Altman DG, et al. SPIRIT 2013 statement: defining standard protocol items for clinical trials. </w:t>
        </w:r>
        <w:r w:rsidRPr="000B4DCF">
          <w:rPr>
            <w:rStyle w:val="csl-right-inline"/>
            <w:i/>
            <w:iCs/>
            <w:color w:val="000000"/>
            <w:sz w:val="22"/>
            <w:lang w:val="en-GB"/>
          </w:rPr>
          <w:t>Ann Intern Med</w:t>
        </w:r>
        <w:r w:rsidRPr="000B4DCF">
          <w:rPr>
            <w:rStyle w:val="csl-right-inline"/>
            <w:color w:val="000000"/>
            <w:sz w:val="22"/>
            <w:lang w:val="en-GB"/>
          </w:rPr>
          <w:t>. 2013;158(3):200-207. doi:10.7326/0003-4819-158-3-201302050-00583</w:t>
        </w:r>
      </w:hyperlink>
    </w:p>
    <w:p w14:paraId="5CA3DB16"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56" w:history="1">
        <w:r w:rsidRPr="000B4DCF">
          <w:rPr>
            <w:rStyle w:val="csl-left-margin"/>
            <w:color w:val="000000"/>
            <w:sz w:val="22"/>
            <w:lang w:val="en-GB"/>
          </w:rPr>
          <w:t>7. </w:t>
        </w:r>
        <w:r w:rsidRPr="000B4DCF">
          <w:rPr>
            <w:rStyle w:val="csl-left-margin"/>
            <w:color w:val="000000"/>
            <w:sz w:val="22"/>
          </w:rPr>
          <w:t>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Cöster MC, Bremander A, Rosengren BE, Magnusson H, Carlsson A, Karlsson MK. Validity, reliability, and responsiveness of the Self-reported Foot and Ankle Score (SEFAS) in forefoot, hindfoot, and ankle disorders. </w:t>
        </w:r>
        <w:r w:rsidRPr="000B4DCF">
          <w:rPr>
            <w:rStyle w:val="csl-right-inline"/>
            <w:i/>
            <w:iCs/>
            <w:color w:val="000000"/>
            <w:sz w:val="22"/>
            <w:lang w:val="en-GB"/>
          </w:rPr>
          <w:t>Acta Orthop</w:t>
        </w:r>
        <w:r w:rsidRPr="000B4DCF">
          <w:rPr>
            <w:rStyle w:val="csl-right-inline"/>
            <w:color w:val="000000"/>
            <w:sz w:val="22"/>
            <w:lang w:val="en-GB"/>
          </w:rPr>
          <w:t>. 2014;85(2):187-194. doi:10.3109/17453674.2014.889979</w:t>
        </w:r>
      </w:hyperlink>
    </w:p>
    <w:p w14:paraId="1518C578" w14:textId="77777777" w:rsidR="000B4DCF" w:rsidRPr="00056148" w:rsidRDefault="000B4DCF" w:rsidP="000B4DCF">
      <w:pPr>
        <w:pStyle w:val="NormalWeb"/>
        <w:spacing w:afterLines="100" w:after="240" w:line="220" w:lineRule="auto"/>
        <w:ind w:left="640" w:hanging="640"/>
        <w:divId w:val="1966427447"/>
        <w:rPr>
          <w:color w:val="000000"/>
          <w:sz w:val="22"/>
          <w:lang w:val="en-GB"/>
        </w:rPr>
      </w:pPr>
      <w:hyperlink r:id="rId57" w:history="1">
        <w:r w:rsidRPr="000B4DCF">
          <w:rPr>
            <w:rStyle w:val="csl-left-margin"/>
            <w:color w:val="000000"/>
            <w:sz w:val="22"/>
            <w:lang w:val="en-GB"/>
          </w:rPr>
          <w:t>8. </w:t>
        </w:r>
        <w:r w:rsidRPr="000B4DCF">
          <w:rPr>
            <w:rStyle w:val="csl-left-margin"/>
            <w:color w:val="000000"/>
            <w:sz w:val="22"/>
          </w:rPr>
          <w:t>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Cöster MC, Nilsdotter A, Brudin L, Bremander A. Minimally important change, measurement error, and responsiveness for the Self-Reported Foot and Ankle Score. </w:t>
        </w:r>
        <w:r w:rsidRPr="00056148">
          <w:rPr>
            <w:rStyle w:val="csl-right-inline"/>
            <w:i/>
            <w:iCs/>
            <w:color w:val="000000"/>
            <w:sz w:val="22"/>
            <w:lang w:val="en-GB"/>
          </w:rPr>
          <w:t>Acta Orthop</w:t>
        </w:r>
        <w:r w:rsidRPr="00056148">
          <w:rPr>
            <w:rStyle w:val="csl-right-inline"/>
            <w:color w:val="000000"/>
            <w:sz w:val="22"/>
            <w:lang w:val="en-GB"/>
          </w:rPr>
          <w:t>. 2017;88(3):300-304. doi:10.1080/17453674.2017.1293445</w:t>
        </w:r>
      </w:hyperlink>
    </w:p>
    <w:p w14:paraId="725C4456"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58" w:history="1">
        <w:r w:rsidRPr="00056148">
          <w:rPr>
            <w:rStyle w:val="csl-left-margin"/>
            <w:color w:val="000000"/>
            <w:sz w:val="22"/>
            <w:lang w:val="en-GB"/>
          </w:rPr>
          <w:t>9. </w:t>
        </w:r>
        <w:r w:rsidRPr="000B4DCF">
          <w:rPr>
            <w:rStyle w:val="csl-left-margin"/>
            <w:color w:val="000000"/>
            <w:sz w:val="22"/>
          </w:rPr>
          <w:t> </w:t>
        </w:r>
        <w:r w:rsidRPr="000B4DCF">
          <w:rPr>
            <w:rStyle w:val="csl-left-margin"/>
            <w:color w:val="000000"/>
            <w:sz w:val="22"/>
          </w:rPr>
          <w:t> </w:t>
        </w:r>
        <w:r w:rsidRPr="000B4DCF">
          <w:rPr>
            <w:rStyle w:val="csl-left-margin"/>
            <w:color w:val="000000"/>
            <w:sz w:val="22"/>
          </w:rPr>
          <w:t> </w:t>
        </w:r>
        <w:r w:rsidRPr="000B4DCF">
          <w:rPr>
            <w:rStyle w:val="csl-right-inline"/>
            <w:color w:val="000000"/>
            <w:sz w:val="22"/>
          </w:rPr>
          <w:t xml:space="preserve">Dalen AF, Gregersen MG, Skrede AL, et al. </w:t>
        </w:r>
        <w:r w:rsidRPr="000B4DCF">
          <w:rPr>
            <w:rStyle w:val="csl-right-inline"/>
            <w:color w:val="000000"/>
            <w:sz w:val="22"/>
            <w:lang w:val="en-GB"/>
          </w:rPr>
          <w:t xml:space="preserve">Effects of progressive deltoid ligament sectioning on weber B ankle fracture stability. </w:t>
        </w:r>
        <w:r w:rsidRPr="000B4DCF">
          <w:rPr>
            <w:rStyle w:val="csl-right-inline"/>
            <w:i/>
            <w:iCs/>
            <w:color w:val="000000"/>
            <w:sz w:val="22"/>
            <w:lang w:val="en-GB"/>
          </w:rPr>
          <w:t>Foot Ankle Int</w:t>
        </w:r>
        <w:r w:rsidRPr="000B4DCF">
          <w:rPr>
            <w:rStyle w:val="csl-right-inline"/>
            <w:color w:val="000000"/>
            <w:sz w:val="22"/>
            <w:lang w:val="en-GB"/>
          </w:rPr>
          <w:t>. 2023;44(9):895-904. doi:10.1177/10711007231180212</w:t>
        </w:r>
      </w:hyperlink>
    </w:p>
    <w:p w14:paraId="58B69CD7"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59" w:history="1">
        <w:r w:rsidRPr="000B4DCF">
          <w:rPr>
            <w:rStyle w:val="csl-left-margin"/>
            <w:color w:val="000000"/>
            <w:sz w:val="22"/>
            <w:lang w:val="en-GB"/>
          </w:rPr>
          <w:t>10. 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Dawe EJC, Shafafy R, Quayle J, Gougoulias N, Wee A, Sakellariou A. The effect of different methods of stability assessment on fixation rate and complications in supination external rotation (SER) 2/4 ankle fractures. </w:t>
        </w:r>
        <w:r w:rsidRPr="000B4DCF">
          <w:rPr>
            <w:rStyle w:val="csl-right-inline"/>
            <w:i/>
            <w:iCs/>
            <w:color w:val="000000"/>
            <w:sz w:val="22"/>
            <w:lang w:val="en-GB"/>
          </w:rPr>
          <w:t>Foot Ankle Surg</w:t>
        </w:r>
        <w:r w:rsidRPr="000B4DCF">
          <w:rPr>
            <w:rStyle w:val="csl-right-inline"/>
            <w:color w:val="000000"/>
            <w:sz w:val="22"/>
            <w:lang w:val="en-GB"/>
          </w:rPr>
          <w:t>. 2015;21(2):86-90. doi:10.1016/j.fas.2014.09.010</w:t>
        </w:r>
      </w:hyperlink>
    </w:p>
    <w:p w14:paraId="70ABB8D9"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60" w:history="1">
        <w:r w:rsidRPr="000B4DCF">
          <w:rPr>
            <w:rStyle w:val="csl-left-margin"/>
            <w:color w:val="000000"/>
            <w:sz w:val="22"/>
            <w:lang w:val="en-GB"/>
          </w:rPr>
          <w:t>11. 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Döring S, Provyn S, Marcelis S, et al. Ankle and midfoot ligaments: Ultrasound with anatomical correlation: A review. </w:t>
        </w:r>
        <w:r w:rsidRPr="000B4DCF">
          <w:rPr>
            <w:rStyle w:val="csl-right-inline"/>
            <w:i/>
            <w:iCs/>
            <w:color w:val="000000"/>
            <w:sz w:val="22"/>
            <w:lang w:val="en-GB"/>
          </w:rPr>
          <w:t>Eur J Radiol</w:t>
        </w:r>
        <w:r w:rsidRPr="000B4DCF">
          <w:rPr>
            <w:rStyle w:val="csl-right-inline"/>
            <w:color w:val="000000"/>
            <w:sz w:val="22"/>
            <w:lang w:val="en-GB"/>
          </w:rPr>
          <w:t>. 2018;107:216-226. doi:10.1016/j.ejrad.2018.08.011</w:t>
        </w:r>
      </w:hyperlink>
    </w:p>
    <w:p w14:paraId="06DF4762" w14:textId="77777777" w:rsidR="000B4DCF" w:rsidRPr="00056148" w:rsidRDefault="000B4DCF" w:rsidP="000B4DCF">
      <w:pPr>
        <w:pStyle w:val="NormalWeb"/>
        <w:spacing w:afterLines="100" w:after="240" w:line="220" w:lineRule="auto"/>
        <w:ind w:left="640" w:hanging="640"/>
        <w:divId w:val="1966427447"/>
        <w:rPr>
          <w:color w:val="000000"/>
          <w:sz w:val="22"/>
          <w:lang w:val="en-GB"/>
        </w:rPr>
      </w:pPr>
      <w:hyperlink r:id="rId61" w:history="1">
        <w:r w:rsidRPr="000B4DCF">
          <w:rPr>
            <w:rStyle w:val="csl-left-margin"/>
            <w:color w:val="000000"/>
            <w:sz w:val="22"/>
            <w:lang w:val="en-GB"/>
          </w:rPr>
          <w:t>12. 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Garratt AM, Naumann MG, Sigurdsen U, Utvåg SE, Stavem K. Evaluation of three patient reported outcome measures following operative fixation of closed ankle fractures. </w:t>
        </w:r>
        <w:r w:rsidRPr="00056148">
          <w:rPr>
            <w:rStyle w:val="csl-right-inline"/>
            <w:i/>
            <w:iCs/>
            <w:color w:val="000000"/>
            <w:sz w:val="22"/>
            <w:lang w:val="en-GB"/>
          </w:rPr>
          <w:t>BMC Musculoskelet Disord</w:t>
        </w:r>
        <w:r w:rsidRPr="00056148">
          <w:rPr>
            <w:rStyle w:val="csl-right-inline"/>
            <w:color w:val="000000"/>
            <w:sz w:val="22"/>
            <w:lang w:val="en-GB"/>
          </w:rPr>
          <w:t>. 2018;19(1):134. doi:10.1186/s12891-018-2051-5</w:t>
        </w:r>
      </w:hyperlink>
    </w:p>
    <w:p w14:paraId="3EC23978"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62" w:history="1">
        <w:r w:rsidRPr="00056148">
          <w:rPr>
            <w:rStyle w:val="csl-left-margin"/>
            <w:color w:val="000000"/>
            <w:sz w:val="22"/>
            <w:lang w:val="en-GB"/>
          </w:rPr>
          <w:t>13. </w:t>
        </w:r>
        <w:r w:rsidRPr="000B4DCF">
          <w:rPr>
            <w:rStyle w:val="csl-left-margin"/>
            <w:color w:val="000000"/>
            <w:sz w:val="22"/>
          </w:rPr>
          <w:t> </w:t>
        </w:r>
        <w:r w:rsidRPr="000B4DCF">
          <w:rPr>
            <w:rStyle w:val="csl-left-margin"/>
            <w:color w:val="000000"/>
            <w:sz w:val="22"/>
          </w:rPr>
          <w:t> </w:t>
        </w:r>
        <w:r w:rsidRPr="000B4DCF">
          <w:rPr>
            <w:rStyle w:val="csl-right-inline"/>
            <w:color w:val="000000"/>
            <w:sz w:val="22"/>
          </w:rPr>
          <w:t xml:space="preserve">Golanó P, Vega J, de Leeuw PAJ, et al. </w:t>
        </w:r>
        <w:r w:rsidRPr="000B4DCF">
          <w:rPr>
            <w:rStyle w:val="csl-right-inline"/>
            <w:color w:val="000000"/>
            <w:sz w:val="22"/>
            <w:lang w:val="en-GB"/>
          </w:rPr>
          <w:t xml:space="preserve">Anatomy of the ankle ligaments: a pictorial essay. </w:t>
        </w:r>
        <w:r w:rsidRPr="000B4DCF">
          <w:rPr>
            <w:rStyle w:val="csl-right-inline"/>
            <w:i/>
            <w:iCs/>
            <w:color w:val="000000"/>
            <w:sz w:val="22"/>
            <w:lang w:val="en-GB"/>
          </w:rPr>
          <w:t>Knee Surg Sports Traumatol Arthrosc</w:t>
        </w:r>
        <w:r w:rsidRPr="000B4DCF">
          <w:rPr>
            <w:rStyle w:val="csl-right-inline"/>
            <w:color w:val="000000"/>
            <w:sz w:val="22"/>
            <w:lang w:val="en-GB"/>
          </w:rPr>
          <w:t>. 2010;18(5):557-569. doi:10.1007/s00167-010-1100-x</w:t>
        </w:r>
      </w:hyperlink>
    </w:p>
    <w:p w14:paraId="3C237348"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63" w:history="1">
        <w:r w:rsidRPr="000B4DCF">
          <w:rPr>
            <w:rStyle w:val="csl-left-margin"/>
            <w:color w:val="000000"/>
            <w:sz w:val="22"/>
            <w:lang w:val="en-GB"/>
          </w:rPr>
          <w:t>14. 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Gougoulias N, Khanna A, Sakellariou A, Maffulli N. Supination-external rotation ankle fractures: stability a key issue. </w:t>
        </w:r>
        <w:r w:rsidRPr="000B4DCF">
          <w:rPr>
            <w:rStyle w:val="csl-right-inline"/>
            <w:i/>
            <w:iCs/>
            <w:color w:val="000000"/>
            <w:sz w:val="22"/>
            <w:lang w:val="en-GB"/>
          </w:rPr>
          <w:t>Clin Orthop Relat Res</w:t>
        </w:r>
        <w:r w:rsidRPr="000B4DCF">
          <w:rPr>
            <w:rStyle w:val="csl-right-inline"/>
            <w:color w:val="000000"/>
            <w:sz w:val="22"/>
            <w:lang w:val="en-GB"/>
          </w:rPr>
          <w:t>. 2010;468(1):243-251. doi:10.1007/s11999-009-0988-2</w:t>
        </w:r>
      </w:hyperlink>
    </w:p>
    <w:p w14:paraId="370A5DF5"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64" w:history="1">
        <w:r w:rsidRPr="000B4DCF">
          <w:rPr>
            <w:rStyle w:val="csl-left-margin"/>
            <w:color w:val="000000"/>
            <w:sz w:val="22"/>
            <w:lang w:val="en-GB"/>
          </w:rPr>
          <w:t>15. 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Gregersen MG, Dalen AF, Skrede AL, Bjelland Ø, Nilsen FA, Molund M. Effects of fibular plate fixation on ankle stability in a weber B fracture model with partial deltoid ligament sectioning. </w:t>
        </w:r>
        <w:r w:rsidRPr="000B4DCF">
          <w:rPr>
            <w:rStyle w:val="csl-right-inline"/>
            <w:i/>
            <w:iCs/>
            <w:color w:val="000000"/>
            <w:sz w:val="22"/>
            <w:lang w:val="en-GB"/>
          </w:rPr>
          <w:t>Foot Ankle Int</w:t>
        </w:r>
        <w:r w:rsidRPr="000B4DCF">
          <w:rPr>
            <w:rStyle w:val="csl-right-inline"/>
            <w:color w:val="000000"/>
            <w:sz w:val="22"/>
            <w:lang w:val="en-GB"/>
          </w:rPr>
          <w:t>. 2024;45(6):641-647. doi:10.1177/10711007241235903</w:t>
        </w:r>
      </w:hyperlink>
    </w:p>
    <w:p w14:paraId="23C360D0"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65" w:history="1">
        <w:r w:rsidRPr="000B4DCF">
          <w:rPr>
            <w:rStyle w:val="csl-left-margin"/>
            <w:color w:val="000000"/>
            <w:sz w:val="22"/>
            <w:lang w:val="en-GB"/>
          </w:rPr>
          <w:t>16. 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Gregersen MG, Molund M. 2021 IFFAS Award for Excellence Winner: Weightbearing Radiographs Reliably Predict Normal Ankle Congruence in Weber B/SER2 and 4a Fractures: A Prospective Case-Control Study. </w:t>
        </w:r>
        <w:r w:rsidRPr="000B4DCF">
          <w:rPr>
            <w:rStyle w:val="csl-right-inline"/>
            <w:i/>
            <w:iCs/>
            <w:color w:val="000000"/>
            <w:sz w:val="22"/>
            <w:lang w:val="en-GB"/>
          </w:rPr>
          <w:t>Foot &amp; Ankle Orthopaedics</w:t>
        </w:r>
        <w:r w:rsidRPr="000B4DCF">
          <w:rPr>
            <w:rStyle w:val="csl-right-inline"/>
            <w:color w:val="000000"/>
            <w:sz w:val="22"/>
            <w:lang w:val="en-GB"/>
          </w:rPr>
          <w:t>. 2022;7(1):2473011421S0002. doi:10.1177/2473011421S00029</w:t>
        </w:r>
      </w:hyperlink>
    </w:p>
    <w:p w14:paraId="1965D91E"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66" w:history="1">
        <w:r w:rsidRPr="000B4DCF">
          <w:rPr>
            <w:rStyle w:val="csl-left-margin"/>
            <w:color w:val="000000"/>
            <w:sz w:val="22"/>
            <w:lang w:val="en-GB"/>
          </w:rPr>
          <w:t>17. 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Gustilo RB, Anderson JT. Prevention of infection in the treatment of one thousand and twenty-five open fractures of long bones: retrospective and prospective analyses. </w:t>
        </w:r>
        <w:r w:rsidRPr="000B4DCF">
          <w:rPr>
            <w:rStyle w:val="csl-right-inline"/>
            <w:i/>
            <w:iCs/>
            <w:color w:val="000000"/>
            <w:sz w:val="22"/>
            <w:lang w:val="en-GB"/>
          </w:rPr>
          <w:t>J Bone Joint Surg Am</w:t>
        </w:r>
        <w:r w:rsidRPr="000B4DCF">
          <w:rPr>
            <w:rStyle w:val="csl-right-inline"/>
            <w:color w:val="000000"/>
            <w:sz w:val="22"/>
            <w:lang w:val="en-GB"/>
          </w:rPr>
          <w:t>. 1976;58(4):453-458.</w:t>
        </w:r>
      </w:hyperlink>
    </w:p>
    <w:p w14:paraId="7347074C"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67" w:history="1">
        <w:r w:rsidRPr="000B4DCF">
          <w:rPr>
            <w:rStyle w:val="csl-left-margin"/>
            <w:color w:val="000000"/>
            <w:sz w:val="22"/>
            <w:lang w:val="en-GB"/>
          </w:rPr>
          <w:t>18. 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Gu G, Yu J, Huo Y, et al. Efficacy of deltoid ligament reconstruction on the  curative effect, complication and long-term prognosis  in ankle fracture-dislocation with deltoid ligament injury. </w:t>
        </w:r>
        <w:r w:rsidRPr="000B4DCF">
          <w:rPr>
            <w:rStyle w:val="csl-right-inline"/>
            <w:i/>
            <w:iCs/>
            <w:color w:val="000000"/>
            <w:sz w:val="22"/>
            <w:lang w:val="en-GB"/>
          </w:rPr>
          <w:t>Int J Clin Exp Med</w:t>
        </w:r>
        <w:r w:rsidRPr="000B4DCF">
          <w:rPr>
            <w:rStyle w:val="csl-right-inline"/>
            <w:color w:val="000000"/>
            <w:sz w:val="22"/>
            <w:lang w:val="en-GB"/>
          </w:rPr>
          <w:t>. 2017;2017;10:(9):13778-13783.</w:t>
        </w:r>
      </w:hyperlink>
    </w:p>
    <w:p w14:paraId="06EFDFAE"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68" w:history="1">
        <w:r w:rsidRPr="000B4DCF">
          <w:rPr>
            <w:rStyle w:val="csl-left-margin"/>
            <w:color w:val="000000"/>
            <w:sz w:val="22"/>
            <w:lang w:val="en-GB"/>
          </w:rPr>
          <w:t>19. 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Hintermann B. Medial ankle instability. </w:t>
        </w:r>
        <w:r w:rsidRPr="000B4DCF">
          <w:rPr>
            <w:rStyle w:val="csl-right-inline"/>
            <w:i/>
            <w:iCs/>
            <w:color w:val="000000"/>
            <w:sz w:val="22"/>
            <w:lang w:val="en-GB"/>
          </w:rPr>
          <w:t>Foot Ankle Clin</w:t>
        </w:r>
        <w:r w:rsidRPr="000B4DCF">
          <w:rPr>
            <w:rStyle w:val="csl-right-inline"/>
            <w:color w:val="000000"/>
            <w:sz w:val="22"/>
            <w:lang w:val="en-GB"/>
          </w:rPr>
          <w:t>. 2003;8(4):723-738.</w:t>
        </w:r>
      </w:hyperlink>
    </w:p>
    <w:p w14:paraId="3B64CD6F"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69" w:history="1">
        <w:r w:rsidRPr="000B4DCF">
          <w:rPr>
            <w:rStyle w:val="csl-left-margin"/>
            <w:color w:val="000000"/>
            <w:sz w:val="22"/>
            <w:lang w:val="en-GB"/>
          </w:rPr>
          <w:t>20. 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Jeong MS, Choi YS, Kim YJ, Kim JS, Young KW, Jung YY. Deltoid ligament in acute ankle injury: MR imaging analysis. </w:t>
        </w:r>
        <w:r w:rsidRPr="000B4DCF">
          <w:rPr>
            <w:rStyle w:val="csl-right-inline"/>
            <w:i/>
            <w:iCs/>
            <w:color w:val="000000"/>
            <w:sz w:val="22"/>
            <w:lang w:val="en-GB"/>
          </w:rPr>
          <w:t>Skeletal Radiol</w:t>
        </w:r>
        <w:r w:rsidRPr="000B4DCF">
          <w:rPr>
            <w:rStyle w:val="csl-right-inline"/>
            <w:color w:val="000000"/>
            <w:sz w:val="22"/>
            <w:lang w:val="en-GB"/>
          </w:rPr>
          <w:t>. 2014;43(5):655-663. doi:10.1007/s00256-014-1842-5</w:t>
        </w:r>
      </w:hyperlink>
    </w:p>
    <w:p w14:paraId="2529F025"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70" w:history="1">
        <w:r w:rsidRPr="000B4DCF">
          <w:rPr>
            <w:rStyle w:val="csl-left-margin"/>
            <w:color w:val="000000"/>
            <w:sz w:val="22"/>
            <w:lang w:val="en-GB"/>
          </w:rPr>
          <w:t>21. 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Jones CR, Nunley JA. Deltoid ligament repair versus syndesmotic fixation in bimalleolar equivalent ankle fractures. </w:t>
        </w:r>
        <w:r w:rsidRPr="000B4DCF">
          <w:rPr>
            <w:rStyle w:val="csl-right-inline"/>
            <w:i/>
            <w:iCs/>
            <w:color w:val="000000"/>
            <w:sz w:val="22"/>
            <w:lang w:val="en-GB"/>
          </w:rPr>
          <w:t>J Orthop Trauma</w:t>
        </w:r>
        <w:r w:rsidRPr="000B4DCF">
          <w:rPr>
            <w:rStyle w:val="csl-right-inline"/>
            <w:color w:val="000000"/>
            <w:sz w:val="22"/>
            <w:lang w:val="en-GB"/>
          </w:rPr>
          <w:t>. 2015;29(5):245-249. doi:10.1097/BOT.0000000000000220</w:t>
        </w:r>
      </w:hyperlink>
    </w:p>
    <w:p w14:paraId="54EE8698"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71" w:history="1">
        <w:r w:rsidRPr="000B4DCF">
          <w:rPr>
            <w:rStyle w:val="csl-left-margin"/>
            <w:color w:val="000000"/>
            <w:sz w:val="22"/>
            <w:lang w:val="en-GB"/>
          </w:rPr>
          <w:t>22. 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Kellgren JH, Lawrence JS. Radiological assessment of osteo-arthrosis. </w:t>
        </w:r>
        <w:r w:rsidRPr="000B4DCF">
          <w:rPr>
            <w:rStyle w:val="csl-right-inline"/>
            <w:i/>
            <w:iCs/>
            <w:color w:val="000000"/>
            <w:sz w:val="22"/>
            <w:lang w:val="en-GB"/>
          </w:rPr>
          <w:t>Ann Rheum Dis</w:t>
        </w:r>
        <w:r w:rsidRPr="000B4DCF">
          <w:rPr>
            <w:rStyle w:val="csl-right-inline"/>
            <w:color w:val="000000"/>
            <w:sz w:val="22"/>
            <w:lang w:val="en-GB"/>
          </w:rPr>
          <w:t>. 1957;16(4):494-502. doi:10.1136/ard.16.4.494</w:t>
        </w:r>
      </w:hyperlink>
    </w:p>
    <w:p w14:paraId="5DAE562D"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72" w:history="1">
        <w:r w:rsidRPr="000B4DCF">
          <w:rPr>
            <w:rStyle w:val="csl-left-margin"/>
            <w:color w:val="000000"/>
            <w:sz w:val="22"/>
            <w:lang w:val="en-GB"/>
          </w:rPr>
          <w:t>23. 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Liao J, Zhang J, Ni W, Luo G. A retrospective study of deltoid ligament repair versus syndesmotic fixation in lateral malleolus fracture combined with both deltoid ligament injury and inferior tibiofibular syndesmotic disruption. </w:t>
        </w:r>
        <w:r w:rsidRPr="000B4DCF">
          <w:rPr>
            <w:rStyle w:val="csl-right-inline"/>
            <w:i/>
            <w:iCs/>
            <w:color w:val="000000"/>
            <w:sz w:val="22"/>
            <w:lang w:val="en-GB"/>
          </w:rPr>
          <w:t>Front Surg</w:t>
        </w:r>
        <w:r w:rsidRPr="000B4DCF">
          <w:rPr>
            <w:rStyle w:val="csl-right-inline"/>
            <w:color w:val="000000"/>
            <w:sz w:val="22"/>
            <w:lang w:val="en-GB"/>
          </w:rPr>
          <w:t>. 2022;9:912024. doi:10.3389/fsurg.2022.912024</w:t>
        </w:r>
      </w:hyperlink>
    </w:p>
    <w:p w14:paraId="042CD7D7"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73" w:history="1">
        <w:r w:rsidRPr="000B4DCF">
          <w:rPr>
            <w:rStyle w:val="csl-left-margin"/>
            <w:color w:val="000000"/>
            <w:sz w:val="22"/>
            <w:lang w:val="en-GB"/>
          </w:rPr>
          <w:t>24. 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Little MMT, Berkes MB, Schottel PC, et al. Anatomic fixation of supination external rotation type IV equivalent ankle fractures. </w:t>
        </w:r>
        <w:r w:rsidRPr="000B4DCF">
          <w:rPr>
            <w:rStyle w:val="csl-right-inline"/>
            <w:i/>
            <w:iCs/>
            <w:color w:val="000000"/>
            <w:sz w:val="22"/>
            <w:lang w:val="en-GB"/>
          </w:rPr>
          <w:t>J Orthop Trauma</w:t>
        </w:r>
        <w:r w:rsidRPr="000B4DCF">
          <w:rPr>
            <w:rStyle w:val="csl-right-inline"/>
            <w:color w:val="000000"/>
            <w:sz w:val="22"/>
            <w:lang w:val="en-GB"/>
          </w:rPr>
          <w:t>. 2015;29(5):250-255. doi:10.1097/BOT.0000000000000318</w:t>
        </w:r>
      </w:hyperlink>
    </w:p>
    <w:p w14:paraId="4760FE44"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74" w:history="1">
        <w:r w:rsidRPr="000B4DCF">
          <w:rPr>
            <w:rStyle w:val="csl-left-margin"/>
            <w:color w:val="000000"/>
            <w:sz w:val="22"/>
            <w:lang w:val="en-GB"/>
          </w:rPr>
          <w:t>25. 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Mason LW, Kaye A, Widnall J, Redfern J, Molloy A. Posterior malleolar ankle fractures: an effort at improving outcomes. </w:t>
        </w:r>
        <w:r w:rsidRPr="000B4DCF">
          <w:rPr>
            <w:rStyle w:val="csl-right-inline"/>
            <w:i/>
            <w:iCs/>
            <w:color w:val="000000"/>
            <w:sz w:val="22"/>
            <w:lang w:val="en-GB"/>
          </w:rPr>
          <w:t>JB JS Open Access</w:t>
        </w:r>
        <w:r w:rsidRPr="000B4DCF">
          <w:rPr>
            <w:rStyle w:val="csl-right-inline"/>
            <w:color w:val="000000"/>
            <w:sz w:val="22"/>
            <w:lang w:val="en-GB"/>
          </w:rPr>
          <w:t>. 2019;4(2):e0058. doi:10.2106/JBJS.OA.18.00058</w:t>
        </w:r>
      </w:hyperlink>
    </w:p>
    <w:p w14:paraId="6F074227"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75" w:history="1">
        <w:r w:rsidRPr="000B4DCF">
          <w:rPr>
            <w:rStyle w:val="csl-left-margin"/>
            <w:color w:val="000000"/>
            <w:sz w:val="22"/>
            <w:lang w:val="en-GB"/>
          </w:rPr>
          <w:t>26. 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McKeown R, Parsons H, Ellard DR, Kearney RS. An evaluation of the measurement properties of the Olerud Molander Ankle Score in adults with an ankle fracture. </w:t>
        </w:r>
        <w:r w:rsidRPr="000B4DCF">
          <w:rPr>
            <w:rStyle w:val="csl-right-inline"/>
            <w:i/>
            <w:iCs/>
            <w:color w:val="000000"/>
            <w:sz w:val="22"/>
            <w:lang w:val="en-GB"/>
          </w:rPr>
          <w:t>Physiotherapy</w:t>
        </w:r>
        <w:r w:rsidRPr="000B4DCF">
          <w:rPr>
            <w:rStyle w:val="csl-right-inline"/>
            <w:color w:val="000000"/>
            <w:sz w:val="22"/>
            <w:lang w:val="en-GB"/>
          </w:rPr>
          <w:t>. 2021;112:1-8. doi:10.1016/j.physio.2021.03.015</w:t>
        </w:r>
      </w:hyperlink>
    </w:p>
    <w:p w14:paraId="0481CF01"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76" w:history="1">
        <w:r w:rsidRPr="000B4DCF">
          <w:rPr>
            <w:rStyle w:val="csl-left-margin"/>
            <w:color w:val="000000"/>
            <w:sz w:val="22"/>
            <w:lang w:val="en-GB"/>
          </w:rPr>
          <w:t>27. 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Mittal R, Harris IA, Adie S, Naylor JM, CROSSBAT Study Group. Surgery for type B ankle fracture treatment: a combined randomised and observational study (CROSSBAT). </w:t>
        </w:r>
        <w:r w:rsidRPr="000B4DCF">
          <w:rPr>
            <w:rStyle w:val="csl-right-inline"/>
            <w:i/>
            <w:iCs/>
            <w:color w:val="000000"/>
            <w:sz w:val="22"/>
            <w:lang w:val="en-GB"/>
          </w:rPr>
          <w:t>BMJ Open</w:t>
        </w:r>
        <w:r w:rsidRPr="000B4DCF">
          <w:rPr>
            <w:rStyle w:val="csl-right-inline"/>
            <w:color w:val="000000"/>
            <w:sz w:val="22"/>
            <w:lang w:val="en-GB"/>
          </w:rPr>
          <w:t>. 2017;7(3):e013298. doi:10.1136/bmjopen-2016-013298</w:t>
        </w:r>
      </w:hyperlink>
    </w:p>
    <w:p w14:paraId="02EEFE28"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77" w:history="1">
        <w:r w:rsidRPr="000B4DCF">
          <w:rPr>
            <w:rStyle w:val="csl-left-margin"/>
            <w:color w:val="000000"/>
            <w:sz w:val="22"/>
            <w:lang w:val="en-GB"/>
          </w:rPr>
          <w:t>28. 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Mococain P, Bejarano-Pineda L, Glisson R, et al. Biomechanical effect on joint stability of including deltoid ligament repair in an ankle fracture soft tissue injury model with deltoid and syndesmotic disruption. </w:t>
        </w:r>
        <w:r w:rsidRPr="000B4DCF">
          <w:rPr>
            <w:rStyle w:val="csl-right-inline"/>
            <w:i/>
            <w:iCs/>
            <w:color w:val="000000"/>
            <w:sz w:val="22"/>
            <w:lang w:val="en-GB"/>
          </w:rPr>
          <w:t>Foot Ankle Int</w:t>
        </w:r>
        <w:r w:rsidRPr="000B4DCF">
          <w:rPr>
            <w:rStyle w:val="csl-right-inline"/>
            <w:color w:val="000000"/>
            <w:sz w:val="22"/>
            <w:lang w:val="en-GB"/>
          </w:rPr>
          <w:t>. 2020;41(9):1158-1164. doi:10.1177/1071100720929007</w:t>
        </w:r>
      </w:hyperlink>
    </w:p>
    <w:p w14:paraId="2598FF21"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78" w:history="1">
        <w:r w:rsidRPr="000B4DCF">
          <w:rPr>
            <w:rStyle w:val="csl-left-margin"/>
            <w:color w:val="000000"/>
            <w:sz w:val="22"/>
            <w:lang w:val="en-GB"/>
          </w:rPr>
          <w:t>29. 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Molund M, Hellesnes J, Berdal G, Andreassen BS, Andreassen GS. Compared to conventional physiotherapy, does the use of an ankle trainer device after Weber B ankle fracture operation improve outcome and shorten hospital stay? A randomized controlled trial. </w:t>
        </w:r>
        <w:r w:rsidRPr="000B4DCF">
          <w:rPr>
            <w:rStyle w:val="csl-right-inline"/>
            <w:i/>
            <w:iCs/>
            <w:color w:val="000000"/>
            <w:sz w:val="22"/>
            <w:lang w:val="en-GB"/>
          </w:rPr>
          <w:t>Clin Rehabil</w:t>
        </w:r>
        <w:r w:rsidRPr="000B4DCF">
          <w:rPr>
            <w:rStyle w:val="csl-right-inline"/>
            <w:color w:val="000000"/>
            <w:sz w:val="22"/>
            <w:lang w:val="en-GB"/>
          </w:rPr>
          <w:t>. 2020;34(8):1040-1047. doi:10.1177/0269215520929727</w:t>
        </w:r>
      </w:hyperlink>
    </w:p>
    <w:p w14:paraId="79804A1D"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79" w:history="1">
        <w:r w:rsidRPr="000B4DCF">
          <w:rPr>
            <w:rStyle w:val="csl-left-margin"/>
            <w:color w:val="000000"/>
            <w:sz w:val="22"/>
            <w:lang w:val="en-GB"/>
          </w:rPr>
          <w:t>30. 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Naumann MG, Sigurdsen U, Utvåg SE, Stavem K. Functional outcomes following surgical-site infections after operative fixation of closed ankle fractures. </w:t>
        </w:r>
        <w:r w:rsidRPr="000B4DCF">
          <w:rPr>
            <w:rStyle w:val="csl-right-inline"/>
            <w:i/>
            <w:iCs/>
            <w:color w:val="000000"/>
            <w:sz w:val="22"/>
            <w:lang w:val="en-GB"/>
          </w:rPr>
          <w:t>Foot Ankle Surg</w:t>
        </w:r>
        <w:r w:rsidRPr="000B4DCF">
          <w:rPr>
            <w:rStyle w:val="csl-right-inline"/>
            <w:color w:val="000000"/>
            <w:sz w:val="22"/>
            <w:lang w:val="en-GB"/>
          </w:rPr>
          <w:t>. 2017;23(4):311-316. doi:10.1016/j.fas.2016.10.002</w:t>
        </w:r>
      </w:hyperlink>
    </w:p>
    <w:p w14:paraId="49A8230F"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80" w:history="1">
        <w:r w:rsidRPr="000B4DCF">
          <w:rPr>
            <w:rStyle w:val="csl-left-margin"/>
            <w:color w:val="000000"/>
            <w:sz w:val="22"/>
            <w:lang w:val="en-GB"/>
          </w:rPr>
          <w:t>31. 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Olerud C, Molander H. A scoring scale for symptom evaluation after ankle fracture. </w:t>
        </w:r>
        <w:r w:rsidRPr="000B4DCF">
          <w:rPr>
            <w:rStyle w:val="csl-right-inline"/>
            <w:i/>
            <w:iCs/>
            <w:color w:val="000000"/>
            <w:sz w:val="22"/>
            <w:lang w:val="en-GB"/>
          </w:rPr>
          <w:t>Arch Orthop Trauma Surg</w:t>
        </w:r>
        <w:r w:rsidRPr="000B4DCF">
          <w:rPr>
            <w:rStyle w:val="csl-right-inline"/>
            <w:color w:val="000000"/>
            <w:sz w:val="22"/>
            <w:lang w:val="en-GB"/>
          </w:rPr>
          <w:t>. 1984;103(3):190-194. doi:10.1007/BF00435553</w:t>
        </w:r>
      </w:hyperlink>
    </w:p>
    <w:p w14:paraId="5255DF46"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81" w:history="1">
        <w:r w:rsidRPr="000B4DCF">
          <w:rPr>
            <w:rStyle w:val="csl-left-margin"/>
            <w:color w:val="000000"/>
            <w:sz w:val="22"/>
            <w:lang w:val="en-GB"/>
          </w:rPr>
          <w:t>32. 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Pakarinen HJ, Flinkkilä TE, Ohtonen PP, et al. Syndesmotic fixation in supination-external rotation ankle fractures: a prospective randomized study. </w:t>
        </w:r>
        <w:r w:rsidRPr="000B4DCF">
          <w:rPr>
            <w:rStyle w:val="csl-right-inline"/>
            <w:i/>
            <w:iCs/>
            <w:color w:val="000000"/>
            <w:sz w:val="22"/>
            <w:lang w:val="en-GB"/>
          </w:rPr>
          <w:t>Foot Ankle Int</w:t>
        </w:r>
        <w:r w:rsidRPr="000B4DCF">
          <w:rPr>
            <w:rStyle w:val="csl-right-inline"/>
            <w:color w:val="000000"/>
            <w:sz w:val="22"/>
            <w:lang w:val="en-GB"/>
          </w:rPr>
          <w:t>. 2011;32(12):1103-1109. doi:10.3113/FAI.2011.1103</w:t>
        </w:r>
      </w:hyperlink>
    </w:p>
    <w:p w14:paraId="43635EB1"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82" w:history="1">
        <w:r w:rsidRPr="000B4DCF">
          <w:rPr>
            <w:rStyle w:val="csl-left-margin"/>
            <w:color w:val="000000"/>
            <w:sz w:val="22"/>
            <w:lang w:val="en-GB"/>
          </w:rPr>
          <w:t>33. 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Park YH, Jang KS, Yeo ED, Choi GW, Kim HJ. Comparison of outcome of deltoid ligament repair according to location of suture anchors in rotational ankle fracture. </w:t>
        </w:r>
        <w:r w:rsidRPr="000B4DCF">
          <w:rPr>
            <w:rStyle w:val="csl-right-inline"/>
            <w:i/>
            <w:iCs/>
            <w:color w:val="000000"/>
            <w:sz w:val="22"/>
            <w:lang w:val="en-GB"/>
          </w:rPr>
          <w:t>Foot Ankle Int</w:t>
        </w:r>
        <w:r w:rsidRPr="000B4DCF">
          <w:rPr>
            <w:rStyle w:val="csl-right-inline"/>
            <w:color w:val="000000"/>
            <w:sz w:val="22"/>
            <w:lang w:val="en-GB"/>
          </w:rPr>
          <w:t>. 2021;42(1):62-68. doi:10.1177/1071100720952053</w:t>
        </w:r>
      </w:hyperlink>
    </w:p>
    <w:p w14:paraId="5634731B"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83" w:history="1">
        <w:r w:rsidRPr="000B4DCF">
          <w:rPr>
            <w:rStyle w:val="csl-left-margin"/>
            <w:color w:val="000000"/>
            <w:sz w:val="22"/>
            <w:lang w:val="en-GB"/>
          </w:rPr>
          <w:t>34. 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Paulsen A, Djuv A, Garratt AM, Nguyen MQ. </w:t>
        </w:r>
        <w:r w:rsidRPr="000B4DCF">
          <w:rPr>
            <w:rStyle w:val="csl-right-inline"/>
            <w:color w:val="000000"/>
            <w:sz w:val="22"/>
          </w:rPr>
          <w:t xml:space="preserve">OLERUD-MOLANDER ANKLE SCORE: EN NORSK OVERSETTELSE OG KRYSSKULTURELL ADAPTASJON. </w:t>
        </w:r>
        <w:r w:rsidRPr="000B4DCF">
          <w:rPr>
            <w:rStyle w:val="csl-right-inline"/>
            <w:color w:val="000000"/>
            <w:sz w:val="22"/>
            <w:lang w:val="en-GB"/>
          </w:rPr>
          <w:t>In: Nof; 2022:84.</w:t>
        </w:r>
      </w:hyperlink>
    </w:p>
    <w:p w14:paraId="3530C59A" w14:textId="77777777" w:rsidR="000B4DCF" w:rsidRPr="00056148" w:rsidRDefault="000B4DCF" w:rsidP="000B4DCF">
      <w:pPr>
        <w:pStyle w:val="NormalWeb"/>
        <w:spacing w:afterLines="100" w:after="240" w:line="220" w:lineRule="auto"/>
        <w:ind w:left="640" w:hanging="640"/>
        <w:divId w:val="1966427447"/>
        <w:rPr>
          <w:color w:val="000000"/>
          <w:sz w:val="22"/>
          <w:lang w:val="en-GB"/>
        </w:rPr>
      </w:pPr>
      <w:hyperlink r:id="rId84" w:history="1">
        <w:r w:rsidRPr="000B4DCF">
          <w:rPr>
            <w:rStyle w:val="csl-left-margin"/>
            <w:color w:val="000000"/>
            <w:sz w:val="22"/>
            <w:lang w:val="en-GB"/>
          </w:rPr>
          <w:t>35. 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Rabin R, de Charro F. EQ-5D: a measure of health status from the EuroQol Group. </w:t>
        </w:r>
        <w:r w:rsidRPr="00056148">
          <w:rPr>
            <w:rStyle w:val="csl-right-inline"/>
            <w:i/>
            <w:iCs/>
            <w:color w:val="000000"/>
            <w:sz w:val="22"/>
            <w:lang w:val="en-GB"/>
          </w:rPr>
          <w:t>Ann Med</w:t>
        </w:r>
        <w:r w:rsidRPr="00056148">
          <w:rPr>
            <w:rStyle w:val="csl-right-inline"/>
            <w:color w:val="000000"/>
            <w:sz w:val="22"/>
            <w:lang w:val="en-GB"/>
          </w:rPr>
          <w:t>. 2001;33(5):337-343. doi:10.3109/07853890109002087</w:t>
        </w:r>
      </w:hyperlink>
    </w:p>
    <w:p w14:paraId="2B1962EA"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85" w:history="1">
        <w:r w:rsidRPr="00056148">
          <w:rPr>
            <w:rStyle w:val="csl-left-margin"/>
            <w:color w:val="000000"/>
            <w:sz w:val="22"/>
            <w:lang w:val="en-GB"/>
          </w:rPr>
          <w:t>36. </w:t>
        </w:r>
        <w:r w:rsidRPr="000B4DCF">
          <w:rPr>
            <w:rStyle w:val="csl-left-margin"/>
            <w:color w:val="000000"/>
            <w:sz w:val="22"/>
          </w:rPr>
          <w:t> </w:t>
        </w:r>
        <w:r w:rsidRPr="000B4DCF">
          <w:rPr>
            <w:rStyle w:val="csl-left-margin"/>
            <w:color w:val="000000"/>
            <w:sz w:val="22"/>
          </w:rPr>
          <w:t> </w:t>
        </w:r>
        <w:r w:rsidRPr="000B4DCF">
          <w:rPr>
            <w:rStyle w:val="csl-right-inline"/>
            <w:color w:val="000000"/>
            <w:sz w:val="22"/>
          </w:rPr>
          <w:t xml:space="preserve">Salameh M, Alhammoud A, Alkhatib N, et al. </w:t>
        </w:r>
        <w:r w:rsidRPr="000B4DCF">
          <w:rPr>
            <w:rStyle w:val="csl-right-inline"/>
            <w:color w:val="000000"/>
            <w:sz w:val="22"/>
            <w:lang w:val="en-GB"/>
          </w:rPr>
          <w:t xml:space="preserve">Outcome of primary deltoid ligament repair in acute ankle fractures: a meta-analysis of comparative studies. </w:t>
        </w:r>
        <w:r w:rsidRPr="000B4DCF">
          <w:rPr>
            <w:rStyle w:val="csl-right-inline"/>
            <w:i/>
            <w:iCs/>
            <w:color w:val="000000"/>
            <w:sz w:val="22"/>
            <w:lang w:val="en-GB"/>
          </w:rPr>
          <w:t>Int Orthop</w:t>
        </w:r>
        <w:r w:rsidRPr="000B4DCF">
          <w:rPr>
            <w:rStyle w:val="csl-right-inline"/>
            <w:color w:val="000000"/>
            <w:sz w:val="22"/>
            <w:lang w:val="en-GB"/>
          </w:rPr>
          <w:t>. 2020;44(2):341-347. doi:10.1007/s00264-019-04416-9</w:t>
        </w:r>
      </w:hyperlink>
    </w:p>
    <w:p w14:paraId="07F466CE"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86" w:history="1">
        <w:r w:rsidRPr="000B4DCF">
          <w:rPr>
            <w:rStyle w:val="csl-left-margin"/>
            <w:color w:val="000000"/>
            <w:sz w:val="22"/>
            <w:lang w:val="en-GB"/>
          </w:rPr>
          <w:t>37. 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Schock HJ, Pinzur M, Manion L, Stover M. The use of gravity or manual-stress radiographs in the assessment of supination-external rotation fractures of the ankle. </w:t>
        </w:r>
        <w:r w:rsidRPr="000B4DCF">
          <w:rPr>
            <w:rStyle w:val="csl-right-inline"/>
            <w:i/>
            <w:iCs/>
            <w:color w:val="000000"/>
            <w:sz w:val="22"/>
            <w:lang w:val="en-GB"/>
          </w:rPr>
          <w:t>J Bone Joint Surg Br</w:t>
        </w:r>
        <w:r w:rsidRPr="000B4DCF">
          <w:rPr>
            <w:rStyle w:val="csl-right-inline"/>
            <w:color w:val="000000"/>
            <w:sz w:val="22"/>
            <w:lang w:val="en-GB"/>
          </w:rPr>
          <w:t>. 2007;89(8):1055-1059. doi:10.1302/0301-620X.89B8.19134</w:t>
        </w:r>
      </w:hyperlink>
    </w:p>
    <w:p w14:paraId="46189E5D" w14:textId="77777777" w:rsidR="000B4DCF" w:rsidRPr="00056148" w:rsidRDefault="000B4DCF" w:rsidP="000B4DCF">
      <w:pPr>
        <w:pStyle w:val="NormalWeb"/>
        <w:spacing w:afterLines="100" w:after="240" w:line="220" w:lineRule="auto"/>
        <w:ind w:left="640" w:hanging="640"/>
        <w:divId w:val="1966427447"/>
        <w:rPr>
          <w:color w:val="000000"/>
          <w:sz w:val="22"/>
          <w:lang w:val="en-GB"/>
        </w:rPr>
      </w:pPr>
      <w:hyperlink r:id="rId87" w:history="1">
        <w:r w:rsidRPr="000B4DCF">
          <w:rPr>
            <w:rStyle w:val="csl-left-margin"/>
            <w:color w:val="000000"/>
            <w:sz w:val="22"/>
            <w:lang w:val="en-GB"/>
          </w:rPr>
          <w:t>38. 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Seidel A, Krause F, Weber M. Weightbearing vs Gravity Stress Radiographs for Stability Evaluation of Supination-External Rotation Fractures of the Ankle. </w:t>
        </w:r>
        <w:r w:rsidRPr="00056148">
          <w:rPr>
            <w:rStyle w:val="csl-right-inline"/>
            <w:i/>
            <w:iCs/>
            <w:color w:val="000000"/>
            <w:sz w:val="22"/>
            <w:lang w:val="en-GB"/>
          </w:rPr>
          <w:t>Foot Ankle Int</w:t>
        </w:r>
        <w:r w:rsidRPr="00056148">
          <w:rPr>
            <w:rStyle w:val="csl-right-inline"/>
            <w:color w:val="000000"/>
            <w:sz w:val="22"/>
            <w:lang w:val="en-GB"/>
          </w:rPr>
          <w:t>. 2017;38(7):736-744. doi:10.1177/1071100717702589</w:t>
        </w:r>
      </w:hyperlink>
    </w:p>
    <w:p w14:paraId="39803219"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88" w:history="1">
        <w:r w:rsidRPr="00056148">
          <w:rPr>
            <w:rStyle w:val="csl-left-margin"/>
            <w:color w:val="000000"/>
            <w:sz w:val="22"/>
            <w:lang w:val="en-GB"/>
          </w:rPr>
          <w:t>39. </w:t>
        </w:r>
        <w:r w:rsidRPr="000B4DCF">
          <w:rPr>
            <w:rStyle w:val="csl-left-margin"/>
            <w:color w:val="000000"/>
            <w:sz w:val="22"/>
          </w:rPr>
          <w:t> </w:t>
        </w:r>
        <w:r w:rsidRPr="000B4DCF">
          <w:rPr>
            <w:rStyle w:val="csl-left-margin"/>
            <w:color w:val="000000"/>
            <w:sz w:val="22"/>
          </w:rPr>
          <w:t> </w:t>
        </w:r>
        <w:r w:rsidRPr="000B4DCF">
          <w:rPr>
            <w:rStyle w:val="csl-right-inline"/>
            <w:color w:val="000000"/>
            <w:sz w:val="22"/>
          </w:rPr>
          <w:t xml:space="preserve">Sogbein OA, Saad L, Barton KI, et al. </w:t>
        </w:r>
        <w:r w:rsidRPr="000B4DCF">
          <w:rPr>
            <w:rStyle w:val="csl-right-inline"/>
            <w:color w:val="000000"/>
            <w:sz w:val="22"/>
            <w:lang w:val="en-GB"/>
          </w:rPr>
          <w:t xml:space="preserve">High-Energy Transsyndesmotic Ankle Fracture Dislocation-Does Deltoid Ligament Repair Influence the Progression of Posttraumatic Arthritis in Logsplitter Injuries? </w:t>
        </w:r>
        <w:r w:rsidRPr="000B4DCF">
          <w:rPr>
            <w:rStyle w:val="csl-right-inline"/>
            <w:i/>
            <w:iCs/>
            <w:color w:val="000000"/>
            <w:sz w:val="22"/>
            <w:lang w:val="en-GB"/>
          </w:rPr>
          <w:t>J Orthop Trauma</w:t>
        </w:r>
        <w:r w:rsidRPr="000B4DCF">
          <w:rPr>
            <w:rStyle w:val="csl-right-inline"/>
            <w:color w:val="000000"/>
            <w:sz w:val="22"/>
            <w:lang w:val="en-GB"/>
          </w:rPr>
          <w:t>. 2024;38(11):615-621. doi:10.1097/BOT.0000000000002877</w:t>
        </w:r>
      </w:hyperlink>
    </w:p>
    <w:p w14:paraId="060EBA88"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89" w:history="1">
        <w:r w:rsidRPr="000B4DCF">
          <w:rPr>
            <w:rStyle w:val="csl-left-margin"/>
            <w:color w:val="000000"/>
            <w:sz w:val="22"/>
            <w:lang w:val="en-GB"/>
          </w:rPr>
          <w:t>40. 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Strömsöe K, Höqevold HE, Skjeldal S, Alho A. The repair of a ruptured deltoid ligament is not necessary in ankle fractures. </w:t>
        </w:r>
        <w:r w:rsidRPr="000B4DCF">
          <w:rPr>
            <w:rStyle w:val="csl-right-inline"/>
            <w:i/>
            <w:iCs/>
            <w:color w:val="000000"/>
            <w:sz w:val="22"/>
            <w:lang w:val="en-GB"/>
          </w:rPr>
          <w:t>J Bone Joint Surg Br</w:t>
        </w:r>
        <w:r w:rsidRPr="000B4DCF">
          <w:rPr>
            <w:rStyle w:val="csl-right-inline"/>
            <w:color w:val="000000"/>
            <w:sz w:val="22"/>
            <w:lang w:val="en-GB"/>
          </w:rPr>
          <w:t>. 1995;77(6):920-921. doi:10.1302/0301-620X.77B6.7593106</w:t>
        </w:r>
      </w:hyperlink>
    </w:p>
    <w:p w14:paraId="7E16B7E3"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90" w:history="1">
        <w:r w:rsidRPr="000B4DCF">
          <w:rPr>
            <w:rStyle w:val="csl-left-margin"/>
            <w:color w:val="000000"/>
            <w:sz w:val="22"/>
            <w:lang w:val="en-GB"/>
          </w:rPr>
          <w:t>41. 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Stufkens SAS, van den Bekerom MPJ, Kerkhoffs GMMJ, Hintermann B, van Dijk CN. Long-term outcome after 1822 operatively treated ankle fractures: a systematic review of the literature. </w:t>
        </w:r>
        <w:r w:rsidRPr="000B4DCF">
          <w:rPr>
            <w:rStyle w:val="csl-right-inline"/>
            <w:i/>
            <w:iCs/>
            <w:color w:val="000000"/>
            <w:sz w:val="22"/>
            <w:lang w:val="en-GB"/>
          </w:rPr>
          <w:t>Injury</w:t>
        </w:r>
        <w:r w:rsidRPr="000B4DCF">
          <w:rPr>
            <w:rStyle w:val="csl-right-inline"/>
            <w:color w:val="000000"/>
            <w:sz w:val="22"/>
            <w:lang w:val="en-GB"/>
          </w:rPr>
          <w:t>. 2011;42(2):119-127. doi:10.1016/j.injury.2010.04.006</w:t>
        </w:r>
      </w:hyperlink>
    </w:p>
    <w:p w14:paraId="4899806B"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91" w:history="1">
        <w:r w:rsidRPr="000B4DCF">
          <w:rPr>
            <w:rStyle w:val="csl-left-margin"/>
            <w:color w:val="000000"/>
            <w:sz w:val="22"/>
            <w:lang w:val="en-GB"/>
          </w:rPr>
          <w:t>42. 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Wang J, Stride D, Horner NS, et al. The role of deltoid ligament repair in ankle fractures with syndesmotic instability: A systematic review. </w:t>
        </w:r>
        <w:r w:rsidRPr="000B4DCF">
          <w:rPr>
            <w:rStyle w:val="csl-right-inline"/>
            <w:i/>
            <w:iCs/>
            <w:color w:val="000000"/>
            <w:sz w:val="22"/>
            <w:lang w:val="en-GB"/>
          </w:rPr>
          <w:t>J Foot Ankle Surg</w:t>
        </w:r>
        <w:r w:rsidRPr="000B4DCF">
          <w:rPr>
            <w:rStyle w:val="csl-right-inline"/>
            <w:color w:val="000000"/>
            <w:sz w:val="22"/>
            <w:lang w:val="en-GB"/>
          </w:rPr>
          <w:t>. 2021;60(1):132-139. doi:10.1053/j.jfas.2020.02.014</w:t>
        </w:r>
      </w:hyperlink>
    </w:p>
    <w:p w14:paraId="43E05393"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92" w:history="1">
        <w:r w:rsidRPr="000B4DCF">
          <w:rPr>
            <w:rStyle w:val="csl-left-margin"/>
            <w:color w:val="000000"/>
            <w:sz w:val="22"/>
            <w:lang w:val="en-GB"/>
          </w:rPr>
          <w:t>43. 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Weber M, Burmeister H, Flueckiger G, Krause FG. The use of weightbearing radiographs to assess the stability  of supination-external rotation fractures of the ankle. </w:t>
        </w:r>
        <w:r w:rsidRPr="000B4DCF">
          <w:rPr>
            <w:rStyle w:val="csl-right-inline"/>
            <w:i/>
            <w:iCs/>
            <w:color w:val="000000"/>
            <w:sz w:val="22"/>
            <w:lang w:val="en-GB"/>
          </w:rPr>
          <w:t>Arch Orthop Trauma Surg</w:t>
        </w:r>
        <w:r w:rsidRPr="000B4DCF">
          <w:rPr>
            <w:rStyle w:val="csl-right-inline"/>
            <w:color w:val="000000"/>
            <w:sz w:val="22"/>
            <w:lang w:val="en-GB"/>
          </w:rPr>
          <w:t>. 2010;130(5):693-698. doi:10.1007/s00402-010-1051-1</w:t>
        </w:r>
      </w:hyperlink>
    </w:p>
    <w:p w14:paraId="0FF30BEB"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93" w:history="1">
        <w:r w:rsidRPr="000B4DCF">
          <w:rPr>
            <w:rStyle w:val="csl-left-margin"/>
            <w:color w:val="000000"/>
            <w:sz w:val="22"/>
            <w:lang w:val="en-GB"/>
          </w:rPr>
          <w:t>44. 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Whitlock KG, LaRose M, Barber H, et al. Deltoid ligament repair versus trans-syndesmotic fixation for bimalleolar equivalent ankle fractures. </w:t>
        </w:r>
        <w:r w:rsidRPr="000B4DCF">
          <w:rPr>
            <w:rStyle w:val="csl-right-inline"/>
            <w:i/>
            <w:iCs/>
            <w:color w:val="000000"/>
            <w:sz w:val="22"/>
            <w:lang w:val="en-GB"/>
          </w:rPr>
          <w:t>Injury</w:t>
        </w:r>
        <w:r w:rsidRPr="000B4DCF">
          <w:rPr>
            <w:rStyle w:val="csl-right-inline"/>
            <w:color w:val="000000"/>
            <w:sz w:val="22"/>
            <w:lang w:val="en-GB"/>
          </w:rPr>
          <w:t>. 2022;53(6):2292-2296. doi:10.1016/j.injury.2022.03.063</w:t>
        </w:r>
      </w:hyperlink>
    </w:p>
    <w:p w14:paraId="7A1CDDDB"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94" w:history="1">
        <w:r w:rsidRPr="000B4DCF">
          <w:rPr>
            <w:rStyle w:val="csl-left-margin"/>
            <w:color w:val="000000"/>
            <w:sz w:val="22"/>
            <w:lang w:val="en-GB"/>
          </w:rPr>
          <w:t>45. 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Wu K, Lin J, Huang J, Wang Q. Evaluation of transsyndesmotic fixation and primary deltoid ligament repair in ankle fractures with suspected combined deltoid ligament injury. </w:t>
        </w:r>
        <w:r w:rsidRPr="000B4DCF">
          <w:rPr>
            <w:rStyle w:val="csl-right-inline"/>
            <w:i/>
            <w:iCs/>
            <w:color w:val="000000"/>
            <w:sz w:val="22"/>
            <w:lang w:val="en-GB"/>
          </w:rPr>
          <w:t>J Foot Ankle Surg</w:t>
        </w:r>
        <w:r w:rsidRPr="000B4DCF">
          <w:rPr>
            <w:rStyle w:val="csl-right-inline"/>
            <w:color w:val="000000"/>
            <w:sz w:val="22"/>
            <w:lang w:val="en-GB"/>
          </w:rPr>
          <w:t>. 2018;57(4):694-700. doi:10.1053/j.jfas.2017.12.007</w:t>
        </w:r>
      </w:hyperlink>
    </w:p>
    <w:p w14:paraId="40781032" w14:textId="77777777" w:rsidR="000B4DCF" w:rsidRPr="000B4DCF" w:rsidRDefault="000B4DCF" w:rsidP="000B4DCF">
      <w:pPr>
        <w:pStyle w:val="NormalWeb"/>
        <w:spacing w:afterLines="100" w:after="240" w:line="220" w:lineRule="auto"/>
        <w:ind w:left="640" w:hanging="640"/>
        <w:divId w:val="1966427447"/>
        <w:rPr>
          <w:color w:val="000000"/>
          <w:sz w:val="22"/>
          <w:lang w:val="en-GB"/>
        </w:rPr>
      </w:pPr>
      <w:hyperlink r:id="rId95" w:history="1">
        <w:r w:rsidRPr="000B4DCF">
          <w:rPr>
            <w:rStyle w:val="csl-left-margin"/>
            <w:color w:val="000000"/>
            <w:sz w:val="22"/>
            <w:lang w:val="en-GB"/>
          </w:rPr>
          <w:t>46. </w:t>
        </w:r>
        <w:r w:rsidRPr="000B4DCF">
          <w:rPr>
            <w:rStyle w:val="csl-left-margin"/>
            <w:color w:val="000000"/>
            <w:sz w:val="22"/>
          </w:rPr>
          <w:t> </w:t>
        </w:r>
        <w:r w:rsidRPr="000B4DCF">
          <w:rPr>
            <w:rStyle w:val="csl-left-margin"/>
            <w:color w:val="000000"/>
            <w:sz w:val="22"/>
          </w:rPr>
          <w:t> </w:t>
        </w:r>
        <w:r w:rsidRPr="000B4DCF">
          <w:rPr>
            <w:rStyle w:val="csl-right-inline"/>
            <w:color w:val="000000"/>
            <w:sz w:val="22"/>
            <w:lang w:val="en-GB"/>
          </w:rPr>
          <w:t xml:space="preserve">Zhao H-M, Lu J, Zhang F, et al. Surgical treatment of ankle fracture with or without deltoid ligament repair: a comparative study. </w:t>
        </w:r>
        <w:r w:rsidRPr="000B4DCF">
          <w:rPr>
            <w:rStyle w:val="csl-right-inline"/>
            <w:i/>
            <w:iCs/>
            <w:color w:val="000000"/>
            <w:sz w:val="22"/>
            <w:lang w:val="en-GB"/>
          </w:rPr>
          <w:t>BMC Musculoskelet Disord</w:t>
        </w:r>
        <w:r w:rsidRPr="000B4DCF">
          <w:rPr>
            <w:rStyle w:val="csl-right-inline"/>
            <w:color w:val="000000"/>
            <w:sz w:val="22"/>
            <w:lang w:val="en-GB"/>
          </w:rPr>
          <w:t>. 2017;18(1):543. doi:10.1186/s12891-017-1907-4</w:t>
        </w:r>
      </w:hyperlink>
    </w:p>
    <w:p w14:paraId="2CBAB71C" w14:textId="59122EE5" w:rsidR="000B4DCF" w:rsidRPr="000B4DCF" w:rsidRDefault="000B4DCF" w:rsidP="000B4DCF">
      <w:pPr>
        <w:spacing w:afterLines="100" w:after="240" w:line="220" w:lineRule="auto"/>
        <w:ind w:left="640" w:hanging="640"/>
        <w:divId w:val="1966427447"/>
        <w:rPr>
          <w:rFonts w:ascii="Times New Roman" w:eastAsia="Arial" w:hAnsi="Times New Roman" w:cs="Times New Roman"/>
          <w:b/>
          <w:color w:val="1F3864"/>
          <w:lang w:val="en-GB"/>
        </w:rPr>
      </w:pPr>
      <w:hyperlink r:id="rId96" w:history="1">
        <w:r w:rsidRPr="000B4DCF">
          <w:rPr>
            <w:rStyle w:val="csl-left-margin"/>
            <w:rFonts w:ascii="Times New Roman" w:hAnsi="Times New Roman" w:cs="Times New Roman"/>
            <w:color w:val="000000"/>
            <w:lang w:val="en-GB"/>
          </w:rPr>
          <w:t>47. </w:t>
        </w:r>
        <w:r w:rsidRPr="000B4DCF">
          <w:rPr>
            <w:rStyle w:val="csl-left-margin"/>
            <w:rFonts w:ascii="Times New Roman" w:hAnsi="Times New Roman" w:cs="Times New Roman"/>
            <w:color w:val="000000"/>
          </w:rPr>
          <w:t> </w:t>
        </w:r>
        <w:r w:rsidRPr="000B4DCF">
          <w:rPr>
            <w:rStyle w:val="csl-left-margin"/>
            <w:rFonts w:ascii="Times New Roman" w:hAnsi="Times New Roman" w:cs="Times New Roman"/>
            <w:color w:val="000000"/>
          </w:rPr>
          <w:t> </w:t>
        </w:r>
        <w:r w:rsidRPr="000B4DCF">
          <w:rPr>
            <w:rStyle w:val="csl-right-inline"/>
            <w:rFonts w:ascii="Times New Roman" w:hAnsi="Times New Roman" w:cs="Times New Roman"/>
            <w:color w:val="000000"/>
            <w:lang w:val="en-GB"/>
          </w:rPr>
          <w:t xml:space="preserve">Zhong B. How to calculate sample size in randomized controlled trial? </w:t>
        </w:r>
        <w:r w:rsidRPr="000B4DCF">
          <w:rPr>
            <w:rStyle w:val="csl-right-inline"/>
            <w:rFonts w:ascii="Times New Roman" w:hAnsi="Times New Roman" w:cs="Times New Roman"/>
            <w:i/>
            <w:iCs/>
            <w:color w:val="000000"/>
          </w:rPr>
          <w:t>J Thorac Dis</w:t>
        </w:r>
        <w:r w:rsidRPr="000B4DCF">
          <w:rPr>
            <w:rStyle w:val="csl-right-inline"/>
            <w:rFonts w:ascii="Times New Roman" w:hAnsi="Times New Roman" w:cs="Times New Roman"/>
            <w:color w:val="000000"/>
          </w:rPr>
          <w:t>. 2009;1(1):51-54.</w:t>
        </w:r>
      </w:hyperlink>
      <w:r w:rsidRPr="000B4DCF">
        <w:rPr>
          <w:rFonts w:ascii="Times New Roman" w:hAnsi="Times New Roman" w:cs="Times New Roman"/>
          <w:color w:val="000000"/>
        </w:rPr>
        <w:t xml:space="preserve"> </w:t>
      </w:r>
    </w:p>
    <w:sectPr w:rsidR="000B4DCF" w:rsidRPr="000B4DCF" w:rsidSect="000B4DCF">
      <w:headerReference w:type="default" r:id="rId97"/>
      <w:footerReference w:type="even" r:id="rId98"/>
      <w:footerReference w:type="first" r:id="rId99"/>
      <w:pgSz w:w="11906" w:h="16838"/>
      <w:pgMar w:top="1004" w:right="1797" w:bottom="1004"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97DBA" w14:textId="77777777" w:rsidR="003D509F" w:rsidRDefault="003D509F" w:rsidP="009C3245">
      <w:r>
        <w:separator/>
      </w:r>
    </w:p>
  </w:endnote>
  <w:endnote w:type="continuationSeparator" w:id="0">
    <w:p w14:paraId="410A53A4" w14:textId="77777777" w:rsidR="003D509F" w:rsidRDefault="003D509F" w:rsidP="009C3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AB7F1" w14:textId="14BB1906" w:rsidR="009C3245" w:rsidRDefault="009C3245">
    <w:pPr>
      <w:pStyle w:val="Footer"/>
    </w:pPr>
    <w:r>
      <w:rPr>
        <w:noProof/>
      </w:rPr>
      <mc:AlternateContent>
        <mc:Choice Requires="wps">
          <w:drawing>
            <wp:anchor distT="0" distB="0" distL="0" distR="0" simplePos="0" relativeHeight="251659264" behindDoc="0" locked="0" layoutInCell="1" allowOverlap="1" wp14:anchorId="68BBB3F9" wp14:editId="23651541">
              <wp:simplePos x="635" y="635"/>
              <wp:positionH relativeFrom="page">
                <wp:align>left</wp:align>
              </wp:positionH>
              <wp:positionV relativeFrom="page">
                <wp:align>bottom</wp:align>
              </wp:positionV>
              <wp:extent cx="443865" cy="443865"/>
              <wp:effectExtent l="0" t="0" r="4445" b="0"/>
              <wp:wrapNone/>
              <wp:docPr id="789382215" name="Tekstboks 2" descr="Følsomhet Intern (gu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ED2347" w14:textId="646F390D" w:rsidR="009C3245" w:rsidRPr="009C3245" w:rsidRDefault="009C3245" w:rsidP="009C3245">
                          <w:pPr>
                            <w:rPr>
                              <w:rFonts w:ascii="Calibri" w:eastAsia="Calibri" w:hAnsi="Calibri" w:cs="Calibri"/>
                              <w:noProof/>
                              <w:color w:val="000000"/>
                              <w:sz w:val="20"/>
                              <w:szCs w:val="20"/>
                            </w:rPr>
                          </w:pPr>
                          <w:r w:rsidRPr="009C3245">
                            <w:rPr>
                              <w:rFonts w:ascii="Calibri" w:eastAsia="Calibri" w:hAnsi="Calibri" w:cs="Calibri"/>
                              <w:noProof/>
                              <w:color w:val="000000"/>
                              <w:sz w:val="20"/>
                              <w:szCs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BBB3F9" id="_x0000_t202" coordsize="21600,21600" o:spt="202" path="m,l,21600r21600,l21600,xe">
              <v:stroke joinstyle="miter"/>
              <v:path gradientshapeok="t" o:connecttype="rect"/>
            </v:shapetype>
            <v:shape id="Tekstboks 2" o:spid="_x0000_s1026" type="#_x0000_t202" alt="Følsomhet Intern (gu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40ED2347" w14:textId="646F390D" w:rsidR="009C3245" w:rsidRPr="009C3245" w:rsidRDefault="009C3245" w:rsidP="009C3245">
                    <w:pPr>
                      <w:rPr>
                        <w:rFonts w:ascii="Calibri" w:eastAsia="Calibri" w:hAnsi="Calibri" w:cs="Calibri"/>
                        <w:noProof/>
                        <w:color w:val="000000"/>
                        <w:sz w:val="20"/>
                        <w:szCs w:val="20"/>
                      </w:rPr>
                    </w:pPr>
                    <w:r w:rsidRPr="009C3245">
                      <w:rPr>
                        <w:rFonts w:ascii="Calibri" w:eastAsia="Calibri" w:hAnsi="Calibri" w:cs="Calibri"/>
                        <w:noProof/>
                        <w:color w:val="000000"/>
                        <w:sz w:val="20"/>
                        <w:szCs w:val="20"/>
                      </w:rPr>
                      <w:t>Følsomhet Intern (gul)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605CB" w14:textId="720F204F" w:rsidR="009C3245" w:rsidRDefault="009C3245">
    <w:pPr>
      <w:pStyle w:val="Footer"/>
    </w:pPr>
    <w:r>
      <w:rPr>
        <w:noProof/>
      </w:rPr>
      <mc:AlternateContent>
        <mc:Choice Requires="wps">
          <w:drawing>
            <wp:anchor distT="0" distB="0" distL="0" distR="0" simplePos="0" relativeHeight="251658240" behindDoc="0" locked="0" layoutInCell="1" allowOverlap="1" wp14:anchorId="49575A81" wp14:editId="00252332">
              <wp:simplePos x="635" y="635"/>
              <wp:positionH relativeFrom="page">
                <wp:align>left</wp:align>
              </wp:positionH>
              <wp:positionV relativeFrom="page">
                <wp:align>bottom</wp:align>
              </wp:positionV>
              <wp:extent cx="443865" cy="443865"/>
              <wp:effectExtent l="0" t="0" r="4445" b="0"/>
              <wp:wrapNone/>
              <wp:docPr id="1757097799" name="Tekstboks 1" descr="Følsomhet Intern (gu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314944" w14:textId="59D47983" w:rsidR="009C3245" w:rsidRPr="009C3245" w:rsidRDefault="009C3245" w:rsidP="009C3245">
                          <w:pPr>
                            <w:rPr>
                              <w:rFonts w:ascii="Calibri" w:eastAsia="Calibri" w:hAnsi="Calibri" w:cs="Calibri"/>
                              <w:noProof/>
                              <w:color w:val="000000"/>
                              <w:sz w:val="20"/>
                              <w:szCs w:val="20"/>
                            </w:rPr>
                          </w:pPr>
                          <w:r w:rsidRPr="009C3245">
                            <w:rPr>
                              <w:rFonts w:ascii="Calibri" w:eastAsia="Calibri" w:hAnsi="Calibri" w:cs="Calibri"/>
                              <w:noProof/>
                              <w:color w:val="000000"/>
                              <w:sz w:val="20"/>
                              <w:szCs w:val="20"/>
                            </w:rPr>
                            <w:t>Følsomhet Intern (gul)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575A81" id="_x0000_t202" coordsize="21600,21600" o:spt="202" path="m,l,21600r21600,l21600,xe">
              <v:stroke joinstyle="miter"/>
              <v:path gradientshapeok="t" o:connecttype="rect"/>
            </v:shapetype>
            <v:shape id="Tekstboks 1" o:spid="_x0000_s1027" type="#_x0000_t202" alt="Følsomhet Intern (gu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C314944" w14:textId="59D47983" w:rsidR="009C3245" w:rsidRPr="009C3245" w:rsidRDefault="009C3245" w:rsidP="009C3245">
                    <w:pPr>
                      <w:rPr>
                        <w:rFonts w:ascii="Calibri" w:eastAsia="Calibri" w:hAnsi="Calibri" w:cs="Calibri"/>
                        <w:noProof/>
                        <w:color w:val="000000"/>
                        <w:sz w:val="20"/>
                        <w:szCs w:val="20"/>
                      </w:rPr>
                    </w:pPr>
                    <w:r w:rsidRPr="009C3245">
                      <w:rPr>
                        <w:rFonts w:ascii="Calibri" w:eastAsia="Calibri" w:hAnsi="Calibri" w:cs="Calibri"/>
                        <w:noProof/>
                        <w:color w:val="000000"/>
                        <w:sz w:val="20"/>
                        <w:szCs w:val="20"/>
                      </w:rPr>
                      <w:t>Følsomhet Intern (gul)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D5F74" w14:textId="77777777" w:rsidR="003D509F" w:rsidRDefault="003D509F" w:rsidP="009C3245">
      <w:r>
        <w:separator/>
      </w:r>
    </w:p>
  </w:footnote>
  <w:footnote w:type="continuationSeparator" w:id="0">
    <w:p w14:paraId="4653A9AD" w14:textId="77777777" w:rsidR="003D509F" w:rsidRDefault="003D509F" w:rsidP="009C3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EEDFF" w14:textId="1D6AF1D6" w:rsidR="00DF6DCD" w:rsidRPr="00DF6DCD" w:rsidRDefault="00DF6DCD" w:rsidP="00DF6DCD">
    <w:pPr>
      <w:rPr>
        <w:rFonts w:ascii="Arial" w:eastAsia="Times New Roman" w:hAnsi="Arial" w:cs="Arial"/>
        <w:color w:val="000000"/>
        <w:sz w:val="20"/>
        <w:szCs w:val="20"/>
        <w:lang w:val="en-GB" w:eastAsia="nb-NO"/>
      </w:rPr>
    </w:pPr>
    <w:r w:rsidRPr="00DF6DCD">
      <w:rPr>
        <w:rFonts w:ascii="Arial" w:eastAsia="Times New Roman" w:hAnsi="Arial" w:cs="Arial"/>
        <w:color w:val="000000"/>
        <w:sz w:val="20"/>
        <w:szCs w:val="20"/>
        <w:lang w:val="en-GB" w:eastAsia="nb-NO"/>
      </w:rPr>
      <w:t xml:space="preserve">NCT06568276 version </w:t>
    </w:r>
    <w:r w:rsidR="005A7F56">
      <w:rPr>
        <w:rFonts w:ascii="Arial" w:eastAsia="Times New Roman" w:hAnsi="Arial" w:cs="Arial"/>
        <w:color w:val="000000"/>
        <w:sz w:val="20"/>
        <w:szCs w:val="20"/>
        <w:lang w:val="en-GB" w:eastAsia="nb-NO"/>
      </w:rPr>
      <w:t>23rd</w:t>
    </w:r>
    <w:r w:rsidRPr="00DF6DCD">
      <w:rPr>
        <w:rFonts w:ascii="Arial" w:eastAsia="Times New Roman" w:hAnsi="Arial" w:cs="Arial"/>
        <w:color w:val="000000"/>
        <w:sz w:val="20"/>
        <w:szCs w:val="20"/>
        <w:lang w:val="en-GB" w:eastAsia="nb-NO"/>
      </w:rPr>
      <w:t xml:space="preserve"> of January 2025</w:t>
    </w:r>
  </w:p>
  <w:p w14:paraId="27B8D3BD" w14:textId="77777777" w:rsidR="00DF6DCD" w:rsidRPr="00DF6DCD" w:rsidRDefault="00DF6DCD" w:rsidP="00DF6DCD">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04D24"/>
    <w:multiLevelType w:val="hybridMultilevel"/>
    <w:tmpl w:val="60367EBA"/>
    <w:lvl w:ilvl="0" w:tplc="424A8316">
      <w:start w:val="1"/>
      <w:numFmt w:val="decimal"/>
      <w:lvlText w:val="%1."/>
      <w:lvlJc w:val="left"/>
      <w:pPr>
        <w:ind w:left="355" w:hanging="360"/>
      </w:pPr>
      <w:rPr>
        <w:rFonts w:hint="default"/>
      </w:rPr>
    </w:lvl>
    <w:lvl w:ilvl="1" w:tplc="04140019" w:tentative="1">
      <w:start w:val="1"/>
      <w:numFmt w:val="lowerLetter"/>
      <w:lvlText w:val="%2."/>
      <w:lvlJc w:val="left"/>
      <w:pPr>
        <w:ind w:left="1075" w:hanging="360"/>
      </w:pPr>
    </w:lvl>
    <w:lvl w:ilvl="2" w:tplc="0414001B" w:tentative="1">
      <w:start w:val="1"/>
      <w:numFmt w:val="lowerRoman"/>
      <w:lvlText w:val="%3."/>
      <w:lvlJc w:val="right"/>
      <w:pPr>
        <w:ind w:left="1795" w:hanging="180"/>
      </w:pPr>
    </w:lvl>
    <w:lvl w:ilvl="3" w:tplc="0414000F" w:tentative="1">
      <w:start w:val="1"/>
      <w:numFmt w:val="decimal"/>
      <w:lvlText w:val="%4."/>
      <w:lvlJc w:val="left"/>
      <w:pPr>
        <w:ind w:left="2515" w:hanging="360"/>
      </w:pPr>
    </w:lvl>
    <w:lvl w:ilvl="4" w:tplc="04140019" w:tentative="1">
      <w:start w:val="1"/>
      <w:numFmt w:val="lowerLetter"/>
      <w:lvlText w:val="%5."/>
      <w:lvlJc w:val="left"/>
      <w:pPr>
        <w:ind w:left="3235" w:hanging="360"/>
      </w:pPr>
    </w:lvl>
    <w:lvl w:ilvl="5" w:tplc="0414001B" w:tentative="1">
      <w:start w:val="1"/>
      <w:numFmt w:val="lowerRoman"/>
      <w:lvlText w:val="%6."/>
      <w:lvlJc w:val="right"/>
      <w:pPr>
        <w:ind w:left="3955" w:hanging="180"/>
      </w:pPr>
    </w:lvl>
    <w:lvl w:ilvl="6" w:tplc="0414000F" w:tentative="1">
      <w:start w:val="1"/>
      <w:numFmt w:val="decimal"/>
      <w:lvlText w:val="%7."/>
      <w:lvlJc w:val="left"/>
      <w:pPr>
        <w:ind w:left="4675" w:hanging="360"/>
      </w:pPr>
    </w:lvl>
    <w:lvl w:ilvl="7" w:tplc="04140019" w:tentative="1">
      <w:start w:val="1"/>
      <w:numFmt w:val="lowerLetter"/>
      <w:lvlText w:val="%8."/>
      <w:lvlJc w:val="left"/>
      <w:pPr>
        <w:ind w:left="5395" w:hanging="360"/>
      </w:pPr>
    </w:lvl>
    <w:lvl w:ilvl="8" w:tplc="0414001B" w:tentative="1">
      <w:start w:val="1"/>
      <w:numFmt w:val="lowerRoman"/>
      <w:lvlText w:val="%9."/>
      <w:lvlJc w:val="right"/>
      <w:pPr>
        <w:ind w:left="6115" w:hanging="180"/>
      </w:pPr>
    </w:lvl>
  </w:abstractNum>
  <w:abstractNum w:abstractNumId="1" w15:restartNumberingAfterBreak="0">
    <w:nsid w:val="2D0E3D42"/>
    <w:multiLevelType w:val="multilevel"/>
    <w:tmpl w:val="414C4D70"/>
    <w:styleLink w:val="Gjeldendeliste1"/>
    <w:lvl w:ilvl="0">
      <w:start w:val="1"/>
      <w:numFmt w:val="decimal"/>
      <w:lvlText w:val="%1."/>
      <w:lvlJc w:val="left"/>
      <w:pPr>
        <w:ind w:left="345" w:hanging="360"/>
      </w:pPr>
      <w:rPr>
        <w:rFonts w:eastAsia="Arial" w:hint="default"/>
        <w:b/>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2" w15:restartNumberingAfterBreak="0">
    <w:nsid w:val="35175EBC"/>
    <w:multiLevelType w:val="hybridMultilevel"/>
    <w:tmpl w:val="414C4D70"/>
    <w:lvl w:ilvl="0" w:tplc="A0A08D38">
      <w:start w:val="1"/>
      <w:numFmt w:val="decimal"/>
      <w:lvlText w:val="%1."/>
      <w:lvlJc w:val="left"/>
      <w:pPr>
        <w:ind w:left="360" w:hanging="360"/>
      </w:pPr>
      <w:rPr>
        <w:rFonts w:eastAsia="Arial" w:hint="default"/>
        <w:b/>
      </w:rPr>
    </w:lvl>
    <w:lvl w:ilvl="1" w:tplc="04140019">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3BFD1B09"/>
    <w:multiLevelType w:val="hybridMultilevel"/>
    <w:tmpl w:val="87D8E7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6E4183F"/>
    <w:multiLevelType w:val="hybridMultilevel"/>
    <w:tmpl w:val="CF72D5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F653813"/>
    <w:multiLevelType w:val="hybridMultilevel"/>
    <w:tmpl w:val="E6BC7056"/>
    <w:lvl w:ilvl="0" w:tplc="EB40A546">
      <w:start w:val="1"/>
      <w:numFmt w:val="decimal"/>
      <w:lvlText w:val="%1."/>
      <w:lvlJc w:val="left"/>
      <w:pPr>
        <w:ind w:left="372"/>
      </w:pPr>
      <w:rPr>
        <w:rFonts w:ascii="Arial" w:eastAsia="Arial" w:hAnsi="Arial" w:cs="Arial"/>
        <w:b w:val="0"/>
        <w:i w:val="0"/>
        <w:strike w:val="0"/>
        <w:dstrike w:val="0"/>
        <w:color w:val="2F2F2F"/>
        <w:sz w:val="18"/>
        <w:szCs w:val="18"/>
        <w:u w:val="none" w:color="000000"/>
        <w:bdr w:val="none" w:sz="0" w:space="0" w:color="auto"/>
        <w:shd w:val="clear" w:color="auto" w:fill="auto"/>
        <w:vertAlign w:val="baseline"/>
      </w:rPr>
    </w:lvl>
    <w:lvl w:ilvl="1" w:tplc="1D328F3C">
      <w:start w:val="1"/>
      <w:numFmt w:val="lowerLetter"/>
      <w:lvlText w:val="%2"/>
      <w:lvlJc w:val="left"/>
      <w:pPr>
        <w:ind w:left="1080"/>
      </w:pPr>
      <w:rPr>
        <w:rFonts w:ascii="Arial" w:eastAsia="Arial" w:hAnsi="Arial" w:cs="Arial"/>
        <w:b w:val="0"/>
        <w:i w:val="0"/>
        <w:strike w:val="0"/>
        <w:dstrike w:val="0"/>
        <w:color w:val="2F2F2F"/>
        <w:sz w:val="18"/>
        <w:szCs w:val="18"/>
        <w:u w:val="none" w:color="000000"/>
        <w:bdr w:val="none" w:sz="0" w:space="0" w:color="auto"/>
        <w:shd w:val="clear" w:color="auto" w:fill="auto"/>
        <w:vertAlign w:val="baseline"/>
      </w:rPr>
    </w:lvl>
    <w:lvl w:ilvl="2" w:tplc="62107086">
      <w:start w:val="1"/>
      <w:numFmt w:val="lowerRoman"/>
      <w:lvlText w:val="%3"/>
      <w:lvlJc w:val="left"/>
      <w:pPr>
        <w:ind w:left="1800"/>
      </w:pPr>
      <w:rPr>
        <w:rFonts w:ascii="Arial" w:eastAsia="Arial" w:hAnsi="Arial" w:cs="Arial"/>
        <w:b w:val="0"/>
        <w:i w:val="0"/>
        <w:strike w:val="0"/>
        <w:dstrike w:val="0"/>
        <w:color w:val="2F2F2F"/>
        <w:sz w:val="18"/>
        <w:szCs w:val="18"/>
        <w:u w:val="none" w:color="000000"/>
        <w:bdr w:val="none" w:sz="0" w:space="0" w:color="auto"/>
        <w:shd w:val="clear" w:color="auto" w:fill="auto"/>
        <w:vertAlign w:val="baseline"/>
      </w:rPr>
    </w:lvl>
    <w:lvl w:ilvl="3" w:tplc="4DC6110A">
      <w:start w:val="1"/>
      <w:numFmt w:val="decimal"/>
      <w:lvlText w:val="%4"/>
      <w:lvlJc w:val="left"/>
      <w:pPr>
        <w:ind w:left="2520"/>
      </w:pPr>
      <w:rPr>
        <w:rFonts w:ascii="Arial" w:eastAsia="Arial" w:hAnsi="Arial" w:cs="Arial"/>
        <w:b w:val="0"/>
        <w:i w:val="0"/>
        <w:strike w:val="0"/>
        <w:dstrike w:val="0"/>
        <w:color w:val="2F2F2F"/>
        <w:sz w:val="18"/>
        <w:szCs w:val="18"/>
        <w:u w:val="none" w:color="000000"/>
        <w:bdr w:val="none" w:sz="0" w:space="0" w:color="auto"/>
        <w:shd w:val="clear" w:color="auto" w:fill="auto"/>
        <w:vertAlign w:val="baseline"/>
      </w:rPr>
    </w:lvl>
    <w:lvl w:ilvl="4" w:tplc="1492995C">
      <w:start w:val="1"/>
      <w:numFmt w:val="lowerLetter"/>
      <w:lvlText w:val="%5"/>
      <w:lvlJc w:val="left"/>
      <w:pPr>
        <w:ind w:left="3240"/>
      </w:pPr>
      <w:rPr>
        <w:rFonts w:ascii="Arial" w:eastAsia="Arial" w:hAnsi="Arial" w:cs="Arial"/>
        <w:b w:val="0"/>
        <w:i w:val="0"/>
        <w:strike w:val="0"/>
        <w:dstrike w:val="0"/>
        <w:color w:val="2F2F2F"/>
        <w:sz w:val="18"/>
        <w:szCs w:val="18"/>
        <w:u w:val="none" w:color="000000"/>
        <w:bdr w:val="none" w:sz="0" w:space="0" w:color="auto"/>
        <w:shd w:val="clear" w:color="auto" w:fill="auto"/>
        <w:vertAlign w:val="baseline"/>
      </w:rPr>
    </w:lvl>
    <w:lvl w:ilvl="5" w:tplc="FB3E1738">
      <w:start w:val="1"/>
      <w:numFmt w:val="lowerRoman"/>
      <w:lvlText w:val="%6"/>
      <w:lvlJc w:val="left"/>
      <w:pPr>
        <w:ind w:left="3960"/>
      </w:pPr>
      <w:rPr>
        <w:rFonts w:ascii="Arial" w:eastAsia="Arial" w:hAnsi="Arial" w:cs="Arial"/>
        <w:b w:val="0"/>
        <w:i w:val="0"/>
        <w:strike w:val="0"/>
        <w:dstrike w:val="0"/>
        <w:color w:val="2F2F2F"/>
        <w:sz w:val="18"/>
        <w:szCs w:val="18"/>
        <w:u w:val="none" w:color="000000"/>
        <w:bdr w:val="none" w:sz="0" w:space="0" w:color="auto"/>
        <w:shd w:val="clear" w:color="auto" w:fill="auto"/>
        <w:vertAlign w:val="baseline"/>
      </w:rPr>
    </w:lvl>
    <w:lvl w:ilvl="6" w:tplc="3A2E7916">
      <w:start w:val="1"/>
      <w:numFmt w:val="decimal"/>
      <w:lvlText w:val="%7"/>
      <w:lvlJc w:val="left"/>
      <w:pPr>
        <w:ind w:left="4680"/>
      </w:pPr>
      <w:rPr>
        <w:rFonts w:ascii="Arial" w:eastAsia="Arial" w:hAnsi="Arial" w:cs="Arial"/>
        <w:b w:val="0"/>
        <w:i w:val="0"/>
        <w:strike w:val="0"/>
        <w:dstrike w:val="0"/>
        <w:color w:val="2F2F2F"/>
        <w:sz w:val="18"/>
        <w:szCs w:val="18"/>
        <w:u w:val="none" w:color="000000"/>
        <w:bdr w:val="none" w:sz="0" w:space="0" w:color="auto"/>
        <w:shd w:val="clear" w:color="auto" w:fill="auto"/>
        <w:vertAlign w:val="baseline"/>
      </w:rPr>
    </w:lvl>
    <w:lvl w:ilvl="7" w:tplc="CABAC1A2">
      <w:start w:val="1"/>
      <w:numFmt w:val="lowerLetter"/>
      <w:lvlText w:val="%8"/>
      <w:lvlJc w:val="left"/>
      <w:pPr>
        <w:ind w:left="5400"/>
      </w:pPr>
      <w:rPr>
        <w:rFonts w:ascii="Arial" w:eastAsia="Arial" w:hAnsi="Arial" w:cs="Arial"/>
        <w:b w:val="0"/>
        <w:i w:val="0"/>
        <w:strike w:val="0"/>
        <w:dstrike w:val="0"/>
        <w:color w:val="2F2F2F"/>
        <w:sz w:val="18"/>
        <w:szCs w:val="18"/>
        <w:u w:val="none" w:color="000000"/>
        <w:bdr w:val="none" w:sz="0" w:space="0" w:color="auto"/>
        <w:shd w:val="clear" w:color="auto" w:fill="auto"/>
        <w:vertAlign w:val="baseline"/>
      </w:rPr>
    </w:lvl>
    <w:lvl w:ilvl="8" w:tplc="06D42C42">
      <w:start w:val="1"/>
      <w:numFmt w:val="lowerRoman"/>
      <w:lvlText w:val="%9"/>
      <w:lvlJc w:val="left"/>
      <w:pPr>
        <w:ind w:left="6120"/>
      </w:pPr>
      <w:rPr>
        <w:rFonts w:ascii="Arial" w:eastAsia="Arial" w:hAnsi="Arial" w:cs="Arial"/>
        <w:b w:val="0"/>
        <w:i w:val="0"/>
        <w:strike w:val="0"/>
        <w:dstrike w:val="0"/>
        <w:color w:val="2F2F2F"/>
        <w:sz w:val="18"/>
        <w:szCs w:val="18"/>
        <w:u w:val="none" w:color="000000"/>
        <w:bdr w:val="none" w:sz="0" w:space="0" w:color="auto"/>
        <w:shd w:val="clear" w:color="auto" w:fill="auto"/>
        <w:vertAlign w:val="baseline"/>
      </w:rPr>
    </w:lvl>
  </w:abstractNum>
  <w:abstractNum w:abstractNumId="6" w15:restartNumberingAfterBreak="0">
    <w:nsid w:val="710C2384"/>
    <w:multiLevelType w:val="hybridMultilevel"/>
    <w:tmpl w:val="5BCC15C0"/>
    <w:lvl w:ilvl="0" w:tplc="D374ABF2">
      <w:start w:val="1"/>
      <w:numFmt w:val="bullet"/>
      <w:lvlText w:val="-"/>
      <w:lvlJc w:val="left"/>
      <w:pPr>
        <w:ind w:left="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D4EAD6">
      <w:start w:val="1"/>
      <w:numFmt w:val="bullet"/>
      <w:lvlText w:val="o"/>
      <w:lvlJc w:val="left"/>
      <w:pPr>
        <w:ind w:left="1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4697F0">
      <w:start w:val="1"/>
      <w:numFmt w:val="bullet"/>
      <w:lvlText w:val="▪"/>
      <w:lvlJc w:val="left"/>
      <w:pPr>
        <w:ind w:left="1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729A00">
      <w:start w:val="1"/>
      <w:numFmt w:val="bullet"/>
      <w:lvlText w:val="•"/>
      <w:lvlJc w:val="left"/>
      <w:pPr>
        <w:ind w:left="2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E2C330">
      <w:start w:val="1"/>
      <w:numFmt w:val="bullet"/>
      <w:lvlText w:val="o"/>
      <w:lvlJc w:val="left"/>
      <w:pPr>
        <w:ind w:left="3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6BA7ADA">
      <w:start w:val="1"/>
      <w:numFmt w:val="bullet"/>
      <w:lvlText w:val="▪"/>
      <w:lvlJc w:val="left"/>
      <w:pPr>
        <w:ind w:left="4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3A970E">
      <w:start w:val="1"/>
      <w:numFmt w:val="bullet"/>
      <w:lvlText w:val="•"/>
      <w:lvlJc w:val="left"/>
      <w:pPr>
        <w:ind w:left="48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32E4C0">
      <w:start w:val="1"/>
      <w:numFmt w:val="bullet"/>
      <w:lvlText w:val="o"/>
      <w:lvlJc w:val="left"/>
      <w:pPr>
        <w:ind w:left="5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44AD82">
      <w:start w:val="1"/>
      <w:numFmt w:val="bullet"/>
      <w:lvlText w:val="▪"/>
      <w:lvlJc w:val="left"/>
      <w:pPr>
        <w:ind w:left="6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59F33BF"/>
    <w:multiLevelType w:val="hybridMultilevel"/>
    <w:tmpl w:val="B15CA0E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E9A1F37"/>
    <w:multiLevelType w:val="multilevel"/>
    <w:tmpl w:val="A0EAD6B6"/>
    <w:lvl w:ilvl="0">
      <w:start w:val="3"/>
      <w:numFmt w:val="decimal"/>
      <w:lvlText w:val="%1"/>
      <w:lvlJc w:val="left"/>
      <w:pPr>
        <w:ind w:left="345" w:hanging="360"/>
      </w:pPr>
      <w:rPr>
        <w:rFonts w:hint="default"/>
      </w:rPr>
    </w:lvl>
    <w:lvl w:ilvl="1">
      <w:start w:val="5"/>
      <w:numFmt w:val="decimal"/>
      <w:isLgl/>
      <w:lvlText w:val="%1.%2"/>
      <w:lvlJc w:val="left"/>
      <w:pPr>
        <w:ind w:left="357" w:hanging="372"/>
      </w:pPr>
      <w:rPr>
        <w:rFonts w:hint="default"/>
      </w:rPr>
    </w:lvl>
    <w:lvl w:ilvl="2">
      <w:start w:val="1"/>
      <w:numFmt w:val="decimal"/>
      <w:isLgl/>
      <w:lvlText w:val="%1.%2.%3"/>
      <w:lvlJc w:val="left"/>
      <w:pPr>
        <w:ind w:left="705" w:hanging="720"/>
      </w:pPr>
      <w:rPr>
        <w:rFonts w:hint="default"/>
      </w:rPr>
    </w:lvl>
    <w:lvl w:ilvl="3">
      <w:start w:val="1"/>
      <w:numFmt w:val="decimal"/>
      <w:isLgl/>
      <w:lvlText w:val="%1.%2.%3.%4"/>
      <w:lvlJc w:val="left"/>
      <w:pPr>
        <w:ind w:left="705" w:hanging="720"/>
      </w:pPr>
      <w:rPr>
        <w:rFonts w:hint="default"/>
      </w:rPr>
    </w:lvl>
    <w:lvl w:ilvl="4">
      <w:start w:val="1"/>
      <w:numFmt w:val="decimal"/>
      <w:isLgl/>
      <w:lvlText w:val="%1.%2.%3.%4.%5"/>
      <w:lvlJc w:val="left"/>
      <w:pPr>
        <w:ind w:left="1065" w:hanging="1080"/>
      </w:pPr>
      <w:rPr>
        <w:rFonts w:hint="default"/>
      </w:rPr>
    </w:lvl>
    <w:lvl w:ilvl="5">
      <w:start w:val="1"/>
      <w:numFmt w:val="decimal"/>
      <w:isLgl/>
      <w:lvlText w:val="%1.%2.%3.%4.%5.%6"/>
      <w:lvlJc w:val="left"/>
      <w:pPr>
        <w:ind w:left="1065" w:hanging="1080"/>
      </w:pPr>
      <w:rPr>
        <w:rFonts w:hint="default"/>
      </w:rPr>
    </w:lvl>
    <w:lvl w:ilvl="6">
      <w:start w:val="1"/>
      <w:numFmt w:val="decimal"/>
      <w:isLgl/>
      <w:lvlText w:val="%1.%2.%3.%4.%5.%6.%7"/>
      <w:lvlJc w:val="left"/>
      <w:pPr>
        <w:ind w:left="1425" w:hanging="1440"/>
      </w:pPr>
      <w:rPr>
        <w:rFonts w:hint="default"/>
      </w:rPr>
    </w:lvl>
    <w:lvl w:ilvl="7">
      <w:start w:val="1"/>
      <w:numFmt w:val="decimal"/>
      <w:isLgl/>
      <w:lvlText w:val="%1.%2.%3.%4.%5.%6.%7.%8"/>
      <w:lvlJc w:val="left"/>
      <w:pPr>
        <w:ind w:left="1425" w:hanging="1440"/>
      </w:pPr>
      <w:rPr>
        <w:rFonts w:hint="default"/>
      </w:rPr>
    </w:lvl>
    <w:lvl w:ilvl="8">
      <w:start w:val="1"/>
      <w:numFmt w:val="decimal"/>
      <w:isLgl/>
      <w:lvlText w:val="%1.%2.%3.%4.%5.%6.%7.%8.%9"/>
      <w:lvlJc w:val="left"/>
      <w:pPr>
        <w:ind w:left="1425" w:hanging="1440"/>
      </w:pPr>
      <w:rPr>
        <w:rFonts w:hint="default"/>
      </w:rPr>
    </w:lvl>
  </w:abstractNum>
  <w:num w:numId="1" w16cid:durableId="56367197">
    <w:abstractNumId w:val="2"/>
  </w:num>
  <w:num w:numId="2" w16cid:durableId="1779713319">
    <w:abstractNumId w:val="6"/>
  </w:num>
  <w:num w:numId="3" w16cid:durableId="1048997104">
    <w:abstractNumId w:val="1"/>
  </w:num>
  <w:num w:numId="4" w16cid:durableId="1454440832">
    <w:abstractNumId w:val="5"/>
  </w:num>
  <w:num w:numId="5" w16cid:durableId="635643282">
    <w:abstractNumId w:val="8"/>
  </w:num>
  <w:num w:numId="6" w16cid:durableId="275211946">
    <w:abstractNumId w:val="3"/>
  </w:num>
  <w:num w:numId="7" w16cid:durableId="882983964">
    <w:abstractNumId w:val="0"/>
  </w:num>
  <w:num w:numId="8" w16cid:durableId="1134980959">
    <w:abstractNumId w:val="7"/>
  </w:num>
  <w:num w:numId="9" w16cid:durableId="613708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CBD"/>
    <w:rsid w:val="00000C1D"/>
    <w:rsid w:val="00005B5C"/>
    <w:rsid w:val="0001593B"/>
    <w:rsid w:val="000171F9"/>
    <w:rsid w:val="00021D72"/>
    <w:rsid w:val="000243AB"/>
    <w:rsid w:val="00025FBC"/>
    <w:rsid w:val="00026954"/>
    <w:rsid w:val="00031F0F"/>
    <w:rsid w:val="000426A8"/>
    <w:rsid w:val="00046530"/>
    <w:rsid w:val="00056148"/>
    <w:rsid w:val="00057C11"/>
    <w:rsid w:val="0006069C"/>
    <w:rsid w:val="0007333B"/>
    <w:rsid w:val="000743B0"/>
    <w:rsid w:val="00074FA3"/>
    <w:rsid w:val="0009125A"/>
    <w:rsid w:val="000A539A"/>
    <w:rsid w:val="000B4DCF"/>
    <w:rsid w:val="000B64F2"/>
    <w:rsid w:val="000C13DA"/>
    <w:rsid w:val="000D4ABE"/>
    <w:rsid w:val="000D7043"/>
    <w:rsid w:val="000F0E26"/>
    <w:rsid w:val="0010287B"/>
    <w:rsid w:val="0010570C"/>
    <w:rsid w:val="001103F3"/>
    <w:rsid w:val="0011775A"/>
    <w:rsid w:val="001265F9"/>
    <w:rsid w:val="00140A60"/>
    <w:rsid w:val="00141A26"/>
    <w:rsid w:val="00141ADC"/>
    <w:rsid w:val="00152C62"/>
    <w:rsid w:val="00153980"/>
    <w:rsid w:val="00155327"/>
    <w:rsid w:val="00156591"/>
    <w:rsid w:val="00175383"/>
    <w:rsid w:val="00182829"/>
    <w:rsid w:val="001833AA"/>
    <w:rsid w:val="0018491B"/>
    <w:rsid w:val="001A25B2"/>
    <w:rsid w:val="001A427C"/>
    <w:rsid w:val="001A47AC"/>
    <w:rsid w:val="001A4C5F"/>
    <w:rsid w:val="001B4105"/>
    <w:rsid w:val="001B5227"/>
    <w:rsid w:val="001B7410"/>
    <w:rsid w:val="001C097B"/>
    <w:rsid w:val="001C19C4"/>
    <w:rsid w:val="001C1FF5"/>
    <w:rsid w:val="001C4E9E"/>
    <w:rsid w:val="001D75C6"/>
    <w:rsid w:val="001F5132"/>
    <w:rsid w:val="00214056"/>
    <w:rsid w:val="002212FB"/>
    <w:rsid w:val="002305C8"/>
    <w:rsid w:val="00231FFE"/>
    <w:rsid w:val="002364B9"/>
    <w:rsid w:val="002404FD"/>
    <w:rsid w:val="00242477"/>
    <w:rsid w:val="00246528"/>
    <w:rsid w:val="00250119"/>
    <w:rsid w:val="00255D02"/>
    <w:rsid w:val="00256C41"/>
    <w:rsid w:val="00257287"/>
    <w:rsid w:val="00257B32"/>
    <w:rsid w:val="00266BD5"/>
    <w:rsid w:val="002734A3"/>
    <w:rsid w:val="00276337"/>
    <w:rsid w:val="002919FD"/>
    <w:rsid w:val="002A2D65"/>
    <w:rsid w:val="002A504D"/>
    <w:rsid w:val="002C136D"/>
    <w:rsid w:val="002C5092"/>
    <w:rsid w:val="002F0D9B"/>
    <w:rsid w:val="002F3C2E"/>
    <w:rsid w:val="00304108"/>
    <w:rsid w:val="00313751"/>
    <w:rsid w:val="00320F08"/>
    <w:rsid w:val="003232B5"/>
    <w:rsid w:val="0032450B"/>
    <w:rsid w:val="0033283A"/>
    <w:rsid w:val="00341614"/>
    <w:rsid w:val="00344381"/>
    <w:rsid w:val="00344406"/>
    <w:rsid w:val="003450B5"/>
    <w:rsid w:val="00345506"/>
    <w:rsid w:val="003459FA"/>
    <w:rsid w:val="00351A18"/>
    <w:rsid w:val="00356367"/>
    <w:rsid w:val="0036198B"/>
    <w:rsid w:val="00367751"/>
    <w:rsid w:val="003763EC"/>
    <w:rsid w:val="0037708B"/>
    <w:rsid w:val="0039203A"/>
    <w:rsid w:val="003A6BB4"/>
    <w:rsid w:val="003A798E"/>
    <w:rsid w:val="003B3D44"/>
    <w:rsid w:val="003B7A1F"/>
    <w:rsid w:val="003C114C"/>
    <w:rsid w:val="003C1C13"/>
    <w:rsid w:val="003D32AA"/>
    <w:rsid w:val="003D509F"/>
    <w:rsid w:val="003E7077"/>
    <w:rsid w:val="00400ABB"/>
    <w:rsid w:val="00404B40"/>
    <w:rsid w:val="0040665F"/>
    <w:rsid w:val="004130C0"/>
    <w:rsid w:val="00415EEF"/>
    <w:rsid w:val="004173B5"/>
    <w:rsid w:val="004177DE"/>
    <w:rsid w:val="00422343"/>
    <w:rsid w:val="00424BF5"/>
    <w:rsid w:val="00427DD3"/>
    <w:rsid w:val="004362F6"/>
    <w:rsid w:val="00445F33"/>
    <w:rsid w:val="004514ED"/>
    <w:rsid w:val="00451CB5"/>
    <w:rsid w:val="004578A1"/>
    <w:rsid w:val="00461C5C"/>
    <w:rsid w:val="00475163"/>
    <w:rsid w:val="00482C6E"/>
    <w:rsid w:val="00484C62"/>
    <w:rsid w:val="004919DE"/>
    <w:rsid w:val="004930E8"/>
    <w:rsid w:val="004A1243"/>
    <w:rsid w:val="004A61C9"/>
    <w:rsid w:val="004B1786"/>
    <w:rsid w:val="004B3F7B"/>
    <w:rsid w:val="004B5404"/>
    <w:rsid w:val="004C0A5D"/>
    <w:rsid w:val="004C71C2"/>
    <w:rsid w:val="004D2CDA"/>
    <w:rsid w:val="004E3056"/>
    <w:rsid w:val="004E476D"/>
    <w:rsid w:val="00501441"/>
    <w:rsid w:val="005103E5"/>
    <w:rsid w:val="00526865"/>
    <w:rsid w:val="0052798E"/>
    <w:rsid w:val="0053084E"/>
    <w:rsid w:val="00560386"/>
    <w:rsid w:val="00597E10"/>
    <w:rsid w:val="005A7ED0"/>
    <w:rsid w:val="005A7F56"/>
    <w:rsid w:val="005B0BA4"/>
    <w:rsid w:val="005B18B8"/>
    <w:rsid w:val="005B2EFA"/>
    <w:rsid w:val="005C126B"/>
    <w:rsid w:val="005C52B1"/>
    <w:rsid w:val="005D16AD"/>
    <w:rsid w:val="005E3551"/>
    <w:rsid w:val="005E7D5E"/>
    <w:rsid w:val="005F289A"/>
    <w:rsid w:val="005F2FAF"/>
    <w:rsid w:val="005F3076"/>
    <w:rsid w:val="005F5D95"/>
    <w:rsid w:val="005F6D5C"/>
    <w:rsid w:val="00607AC7"/>
    <w:rsid w:val="00613A77"/>
    <w:rsid w:val="006279FA"/>
    <w:rsid w:val="00630C78"/>
    <w:rsid w:val="006320E6"/>
    <w:rsid w:val="00643E60"/>
    <w:rsid w:val="00662009"/>
    <w:rsid w:val="00667F3C"/>
    <w:rsid w:val="00671C4C"/>
    <w:rsid w:val="006725AE"/>
    <w:rsid w:val="00674E8D"/>
    <w:rsid w:val="00675459"/>
    <w:rsid w:val="00683B38"/>
    <w:rsid w:val="00692B12"/>
    <w:rsid w:val="00693859"/>
    <w:rsid w:val="006C46B2"/>
    <w:rsid w:val="006D3C13"/>
    <w:rsid w:val="006D6E5F"/>
    <w:rsid w:val="006E0157"/>
    <w:rsid w:val="006F2386"/>
    <w:rsid w:val="006F3D8B"/>
    <w:rsid w:val="006F46F1"/>
    <w:rsid w:val="006F5206"/>
    <w:rsid w:val="00703393"/>
    <w:rsid w:val="007251F3"/>
    <w:rsid w:val="00725D2E"/>
    <w:rsid w:val="00730906"/>
    <w:rsid w:val="00737FD6"/>
    <w:rsid w:val="007538D8"/>
    <w:rsid w:val="00754442"/>
    <w:rsid w:val="0075515F"/>
    <w:rsid w:val="00765B8A"/>
    <w:rsid w:val="007744AD"/>
    <w:rsid w:val="00790FC8"/>
    <w:rsid w:val="007B7539"/>
    <w:rsid w:val="007B7EF3"/>
    <w:rsid w:val="007D09A9"/>
    <w:rsid w:val="007F33A6"/>
    <w:rsid w:val="008016E8"/>
    <w:rsid w:val="00813941"/>
    <w:rsid w:val="00821901"/>
    <w:rsid w:val="008261B1"/>
    <w:rsid w:val="0083043C"/>
    <w:rsid w:val="00835EC3"/>
    <w:rsid w:val="00854D53"/>
    <w:rsid w:val="008637E8"/>
    <w:rsid w:val="00863ABE"/>
    <w:rsid w:val="008664A8"/>
    <w:rsid w:val="008712AD"/>
    <w:rsid w:val="008774FA"/>
    <w:rsid w:val="00886BAC"/>
    <w:rsid w:val="0089141C"/>
    <w:rsid w:val="00891837"/>
    <w:rsid w:val="0089406B"/>
    <w:rsid w:val="008A4885"/>
    <w:rsid w:val="008A6988"/>
    <w:rsid w:val="008C42C1"/>
    <w:rsid w:val="008E1916"/>
    <w:rsid w:val="008F0386"/>
    <w:rsid w:val="008F0B92"/>
    <w:rsid w:val="00907244"/>
    <w:rsid w:val="00921D67"/>
    <w:rsid w:val="009363CE"/>
    <w:rsid w:val="00937FD7"/>
    <w:rsid w:val="009409E4"/>
    <w:rsid w:val="0094352E"/>
    <w:rsid w:val="00943EE4"/>
    <w:rsid w:val="0095451A"/>
    <w:rsid w:val="00960310"/>
    <w:rsid w:val="00960C6A"/>
    <w:rsid w:val="0096287C"/>
    <w:rsid w:val="00962A1C"/>
    <w:rsid w:val="0097564D"/>
    <w:rsid w:val="00980430"/>
    <w:rsid w:val="00990F7C"/>
    <w:rsid w:val="009A7318"/>
    <w:rsid w:val="009B3BCC"/>
    <w:rsid w:val="009C16E4"/>
    <w:rsid w:val="009C3245"/>
    <w:rsid w:val="009C3F1B"/>
    <w:rsid w:val="009C70F7"/>
    <w:rsid w:val="009C7459"/>
    <w:rsid w:val="009D090B"/>
    <w:rsid w:val="009D0FFF"/>
    <w:rsid w:val="009D4BEC"/>
    <w:rsid w:val="009D7314"/>
    <w:rsid w:val="009E0984"/>
    <w:rsid w:val="009F2F07"/>
    <w:rsid w:val="009F301D"/>
    <w:rsid w:val="009F6F19"/>
    <w:rsid w:val="00A001FD"/>
    <w:rsid w:val="00A041A1"/>
    <w:rsid w:val="00A120EE"/>
    <w:rsid w:val="00A16715"/>
    <w:rsid w:val="00A33200"/>
    <w:rsid w:val="00A35774"/>
    <w:rsid w:val="00A44C72"/>
    <w:rsid w:val="00A509DA"/>
    <w:rsid w:val="00A5510A"/>
    <w:rsid w:val="00A55261"/>
    <w:rsid w:val="00A55358"/>
    <w:rsid w:val="00A5542F"/>
    <w:rsid w:val="00A5694C"/>
    <w:rsid w:val="00A60E3F"/>
    <w:rsid w:val="00A628BB"/>
    <w:rsid w:val="00A631CF"/>
    <w:rsid w:val="00A76277"/>
    <w:rsid w:val="00A77CB2"/>
    <w:rsid w:val="00A854A9"/>
    <w:rsid w:val="00AA67BB"/>
    <w:rsid w:val="00AB6D67"/>
    <w:rsid w:val="00AC033D"/>
    <w:rsid w:val="00AC7108"/>
    <w:rsid w:val="00AD2F6D"/>
    <w:rsid w:val="00AD3FB6"/>
    <w:rsid w:val="00AD642B"/>
    <w:rsid w:val="00AE1B0F"/>
    <w:rsid w:val="00AE2CA6"/>
    <w:rsid w:val="00AF315E"/>
    <w:rsid w:val="00AF4166"/>
    <w:rsid w:val="00AF4ECA"/>
    <w:rsid w:val="00AF5D45"/>
    <w:rsid w:val="00B05354"/>
    <w:rsid w:val="00B0747A"/>
    <w:rsid w:val="00B159E0"/>
    <w:rsid w:val="00B1677B"/>
    <w:rsid w:val="00B21BAE"/>
    <w:rsid w:val="00B2653A"/>
    <w:rsid w:val="00B328DF"/>
    <w:rsid w:val="00B34494"/>
    <w:rsid w:val="00B441BE"/>
    <w:rsid w:val="00B501EE"/>
    <w:rsid w:val="00B50A31"/>
    <w:rsid w:val="00B530F2"/>
    <w:rsid w:val="00B6279D"/>
    <w:rsid w:val="00B62823"/>
    <w:rsid w:val="00B64CD3"/>
    <w:rsid w:val="00B70165"/>
    <w:rsid w:val="00B72436"/>
    <w:rsid w:val="00B80A45"/>
    <w:rsid w:val="00B83F99"/>
    <w:rsid w:val="00B8648B"/>
    <w:rsid w:val="00B95BBD"/>
    <w:rsid w:val="00BC0FBE"/>
    <w:rsid w:val="00BC117A"/>
    <w:rsid w:val="00BC1D95"/>
    <w:rsid w:val="00BD73CF"/>
    <w:rsid w:val="00BE342B"/>
    <w:rsid w:val="00BE5292"/>
    <w:rsid w:val="00BE569D"/>
    <w:rsid w:val="00BE6C01"/>
    <w:rsid w:val="00BE7930"/>
    <w:rsid w:val="00BF308D"/>
    <w:rsid w:val="00C00618"/>
    <w:rsid w:val="00C1206B"/>
    <w:rsid w:val="00C269FE"/>
    <w:rsid w:val="00C3051C"/>
    <w:rsid w:val="00C33B46"/>
    <w:rsid w:val="00C34C83"/>
    <w:rsid w:val="00C529BB"/>
    <w:rsid w:val="00C54471"/>
    <w:rsid w:val="00C55A47"/>
    <w:rsid w:val="00C60D80"/>
    <w:rsid w:val="00C64A6E"/>
    <w:rsid w:val="00C65DF0"/>
    <w:rsid w:val="00C66E13"/>
    <w:rsid w:val="00C72064"/>
    <w:rsid w:val="00C8073D"/>
    <w:rsid w:val="00CA0D47"/>
    <w:rsid w:val="00CA401C"/>
    <w:rsid w:val="00CA4D65"/>
    <w:rsid w:val="00CA748B"/>
    <w:rsid w:val="00CB1775"/>
    <w:rsid w:val="00CB326B"/>
    <w:rsid w:val="00CB4B69"/>
    <w:rsid w:val="00CB681F"/>
    <w:rsid w:val="00CC3AE0"/>
    <w:rsid w:val="00CC4568"/>
    <w:rsid w:val="00CC54DC"/>
    <w:rsid w:val="00CF2F81"/>
    <w:rsid w:val="00CF2FCA"/>
    <w:rsid w:val="00D02E68"/>
    <w:rsid w:val="00D16C7F"/>
    <w:rsid w:val="00D21226"/>
    <w:rsid w:val="00D233A6"/>
    <w:rsid w:val="00D27510"/>
    <w:rsid w:val="00D31E8E"/>
    <w:rsid w:val="00D32F4E"/>
    <w:rsid w:val="00D34DCA"/>
    <w:rsid w:val="00D359A0"/>
    <w:rsid w:val="00D4283E"/>
    <w:rsid w:val="00D51348"/>
    <w:rsid w:val="00D5335C"/>
    <w:rsid w:val="00D5345B"/>
    <w:rsid w:val="00D60299"/>
    <w:rsid w:val="00D643BB"/>
    <w:rsid w:val="00D750BC"/>
    <w:rsid w:val="00D76438"/>
    <w:rsid w:val="00D769F3"/>
    <w:rsid w:val="00D829A0"/>
    <w:rsid w:val="00D93C62"/>
    <w:rsid w:val="00D94937"/>
    <w:rsid w:val="00DA63FE"/>
    <w:rsid w:val="00DA6DCF"/>
    <w:rsid w:val="00DB19F0"/>
    <w:rsid w:val="00DC0F13"/>
    <w:rsid w:val="00DC0F78"/>
    <w:rsid w:val="00DD47AA"/>
    <w:rsid w:val="00DD5A4F"/>
    <w:rsid w:val="00DF06C2"/>
    <w:rsid w:val="00DF6790"/>
    <w:rsid w:val="00DF6DCD"/>
    <w:rsid w:val="00E064A7"/>
    <w:rsid w:val="00E13431"/>
    <w:rsid w:val="00E16108"/>
    <w:rsid w:val="00E200BA"/>
    <w:rsid w:val="00E27C88"/>
    <w:rsid w:val="00E34C89"/>
    <w:rsid w:val="00E36C82"/>
    <w:rsid w:val="00E37202"/>
    <w:rsid w:val="00E422D4"/>
    <w:rsid w:val="00E52FDB"/>
    <w:rsid w:val="00E65BED"/>
    <w:rsid w:val="00E73983"/>
    <w:rsid w:val="00E90420"/>
    <w:rsid w:val="00E93D3F"/>
    <w:rsid w:val="00EA0C42"/>
    <w:rsid w:val="00EA17C4"/>
    <w:rsid w:val="00EA2B12"/>
    <w:rsid w:val="00EA46D1"/>
    <w:rsid w:val="00EA4FDE"/>
    <w:rsid w:val="00EA65DA"/>
    <w:rsid w:val="00EB05C2"/>
    <w:rsid w:val="00EC0AE0"/>
    <w:rsid w:val="00EC6CBD"/>
    <w:rsid w:val="00EE1CA8"/>
    <w:rsid w:val="00EE2F3B"/>
    <w:rsid w:val="00EE5856"/>
    <w:rsid w:val="00F005FC"/>
    <w:rsid w:val="00F017DA"/>
    <w:rsid w:val="00F15648"/>
    <w:rsid w:val="00F175B6"/>
    <w:rsid w:val="00F2356D"/>
    <w:rsid w:val="00F2687D"/>
    <w:rsid w:val="00F272A8"/>
    <w:rsid w:val="00F32952"/>
    <w:rsid w:val="00F45E36"/>
    <w:rsid w:val="00F53BD3"/>
    <w:rsid w:val="00F55483"/>
    <w:rsid w:val="00F66ACC"/>
    <w:rsid w:val="00F7174E"/>
    <w:rsid w:val="00F84A52"/>
    <w:rsid w:val="00F9055A"/>
    <w:rsid w:val="00F9367E"/>
    <w:rsid w:val="00F94C4A"/>
    <w:rsid w:val="00F96285"/>
    <w:rsid w:val="00FA3425"/>
    <w:rsid w:val="00FA6BF6"/>
    <w:rsid w:val="00FB3F02"/>
    <w:rsid w:val="00FC145F"/>
    <w:rsid w:val="00FD272A"/>
    <w:rsid w:val="00FE089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DE5B"/>
  <w15:chartTrackingRefBased/>
  <w15:docId w15:val="{DA1C4410-63B8-4A60-AB75-8DB2C98D5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67E"/>
  </w:style>
  <w:style w:type="paragraph" w:styleId="Heading1">
    <w:name w:val="heading 1"/>
    <w:basedOn w:val="Normal"/>
    <w:next w:val="Normal"/>
    <w:link w:val="Heading1Char"/>
    <w:uiPriority w:val="9"/>
    <w:qFormat/>
    <w:rsid w:val="00EC6C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EC6C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C6C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6C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6C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6CB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6CB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6CB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6CB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C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rsid w:val="00EC6C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EC6C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6C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6C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6C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6C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6C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6CBD"/>
    <w:rPr>
      <w:rFonts w:eastAsiaTheme="majorEastAsia" w:cstheme="majorBidi"/>
      <w:color w:val="272727" w:themeColor="text1" w:themeTint="D8"/>
    </w:rPr>
  </w:style>
  <w:style w:type="paragraph" w:styleId="Title">
    <w:name w:val="Title"/>
    <w:basedOn w:val="Normal"/>
    <w:next w:val="Normal"/>
    <w:link w:val="TitleChar"/>
    <w:uiPriority w:val="10"/>
    <w:qFormat/>
    <w:rsid w:val="00EC6CB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6C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6C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6C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6CBD"/>
    <w:pPr>
      <w:spacing w:before="160"/>
      <w:jc w:val="center"/>
    </w:pPr>
    <w:rPr>
      <w:i/>
      <w:iCs/>
      <w:color w:val="404040" w:themeColor="text1" w:themeTint="BF"/>
    </w:rPr>
  </w:style>
  <w:style w:type="character" w:customStyle="1" w:styleId="QuoteChar">
    <w:name w:val="Quote Char"/>
    <w:basedOn w:val="DefaultParagraphFont"/>
    <w:link w:val="Quote"/>
    <w:uiPriority w:val="29"/>
    <w:rsid w:val="00EC6CBD"/>
    <w:rPr>
      <w:i/>
      <w:iCs/>
      <w:color w:val="404040" w:themeColor="text1" w:themeTint="BF"/>
    </w:rPr>
  </w:style>
  <w:style w:type="paragraph" w:styleId="ListParagraph">
    <w:name w:val="List Paragraph"/>
    <w:basedOn w:val="Normal"/>
    <w:uiPriority w:val="34"/>
    <w:qFormat/>
    <w:rsid w:val="00EC6CBD"/>
    <w:pPr>
      <w:ind w:left="720"/>
      <w:contextualSpacing/>
    </w:pPr>
  </w:style>
  <w:style w:type="character" w:styleId="IntenseEmphasis">
    <w:name w:val="Intense Emphasis"/>
    <w:basedOn w:val="DefaultParagraphFont"/>
    <w:uiPriority w:val="21"/>
    <w:qFormat/>
    <w:rsid w:val="00EC6CBD"/>
    <w:rPr>
      <w:i/>
      <w:iCs/>
      <w:color w:val="2F5496" w:themeColor="accent1" w:themeShade="BF"/>
    </w:rPr>
  </w:style>
  <w:style w:type="paragraph" w:styleId="IntenseQuote">
    <w:name w:val="Intense Quote"/>
    <w:basedOn w:val="Normal"/>
    <w:next w:val="Normal"/>
    <w:link w:val="IntenseQuoteChar"/>
    <w:uiPriority w:val="30"/>
    <w:qFormat/>
    <w:rsid w:val="00EC6C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6CBD"/>
    <w:rPr>
      <w:i/>
      <w:iCs/>
      <w:color w:val="2F5496" w:themeColor="accent1" w:themeShade="BF"/>
    </w:rPr>
  </w:style>
  <w:style w:type="character" w:styleId="IntenseReference">
    <w:name w:val="Intense Reference"/>
    <w:basedOn w:val="DefaultParagraphFont"/>
    <w:uiPriority w:val="32"/>
    <w:qFormat/>
    <w:rsid w:val="00EC6CBD"/>
    <w:rPr>
      <w:b/>
      <w:bCs/>
      <w:smallCaps/>
      <w:color w:val="2F5496" w:themeColor="accent1" w:themeShade="BF"/>
      <w:spacing w:val="5"/>
    </w:rPr>
  </w:style>
  <w:style w:type="numbering" w:customStyle="1" w:styleId="Gjeldendeliste1">
    <w:name w:val="Gjeldende liste1"/>
    <w:uiPriority w:val="99"/>
    <w:rsid w:val="0010287B"/>
    <w:pPr>
      <w:numPr>
        <w:numId w:val="3"/>
      </w:numPr>
    </w:pPr>
  </w:style>
  <w:style w:type="table" w:customStyle="1" w:styleId="TableGrid">
    <w:name w:val="TableGrid"/>
    <w:rsid w:val="00790FC8"/>
    <w:rPr>
      <w:rFonts w:eastAsiaTheme="minorEastAsia"/>
      <w:kern w:val="2"/>
      <w:sz w:val="24"/>
      <w:szCs w:val="24"/>
      <w:lang w:eastAsia="nb-NO"/>
      <w14:ligatures w14:val="standardContextual"/>
    </w:rPr>
    <w:tblPr>
      <w:tblCellMar>
        <w:top w:w="0" w:type="dxa"/>
        <w:left w:w="0" w:type="dxa"/>
        <w:bottom w:w="0" w:type="dxa"/>
        <w:right w:w="0" w:type="dxa"/>
      </w:tblCellMar>
    </w:tblPr>
  </w:style>
  <w:style w:type="character" w:styleId="Hyperlink">
    <w:name w:val="Hyperlink"/>
    <w:basedOn w:val="DefaultParagraphFont"/>
    <w:uiPriority w:val="99"/>
    <w:unhideWhenUsed/>
    <w:rsid w:val="00C72064"/>
    <w:rPr>
      <w:color w:val="0000FF"/>
      <w:u w:val="single"/>
    </w:rPr>
  </w:style>
  <w:style w:type="character" w:styleId="FollowedHyperlink">
    <w:name w:val="FollowedHyperlink"/>
    <w:basedOn w:val="DefaultParagraphFont"/>
    <w:uiPriority w:val="99"/>
    <w:semiHidden/>
    <w:unhideWhenUsed/>
    <w:rsid w:val="001F5132"/>
    <w:rPr>
      <w:color w:val="954F72" w:themeColor="followedHyperlink"/>
      <w:u w:val="single"/>
    </w:rPr>
  </w:style>
  <w:style w:type="paragraph" w:styleId="NormalWeb">
    <w:name w:val="Normal (Web)"/>
    <w:basedOn w:val="Normal"/>
    <w:uiPriority w:val="99"/>
    <w:unhideWhenUsed/>
    <w:rsid w:val="007251F3"/>
    <w:pPr>
      <w:spacing w:before="100" w:beforeAutospacing="1" w:after="100" w:afterAutospacing="1"/>
    </w:pPr>
    <w:rPr>
      <w:rFonts w:ascii="Times New Roman" w:eastAsiaTheme="minorEastAsia" w:hAnsi="Times New Roman" w:cs="Times New Roman"/>
      <w:sz w:val="24"/>
      <w:szCs w:val="24"/>
      <w:lang w:eastAsia="nb-NO"/>
    </w:rPr>
  </w:style>
  <w:style w:type="character" w:customStyle="1" w:styleId="csl-left-margin">
    <w:name w:val="csl-left-margin"/>
    <w:basedOn w:val="DefaultParagraphFont"/>
    <w:rsid w:val="007251F3"/>
  </w:style>
  <w:style w:type="character" w:customStyle="1" w:styleId="csl-right-inline">
    <w:name w:val="csl-right-inline"/>
    <w:basedOn w:val="DefaultParagraphFont"/>
    <w:rsid w:val="007251F3"/>
  </w:style>
  <w:style w:type="character" w:customStyle="1" w:styleId="f1000-at-ignore">
    <w:name w:val="f1000-at-ignore"/>
    <w:basedOn w:val="DefaultParagraphFont"/>
    <w:rsid w:val="00046530"/>
  </w:style>
  <w:style w:type="paragraph" w:customStyle="1" w:styleId="TableParagraph">
    <w:name w:val="Table Paragraph"/>
    <w:basedOn w:val="Normal"/>
    <w:uiPriority w:val="1"/>
    <w:qFormat/>
    <w:rsid w:val="00B72436"/>
    <w:pPr>
      <w:widowControl w:val="0"/>
      <w:autoSpaceDE w:val="0"/>
      <w:autoSpaceDN w:val="0"/>
      <w:adjustRightInd w:val="0"/>
      <w:ind w:left="110"/>
    </w:pPr>
    <w:rPr>
      <w:rFonts w:ascii="Arial" w:eastAsiaTheme="minorEastAsia" w:hAnsi="Arial" w:cs="Arial"/>
      <w:sz w:val="24"/>
      <w:szCs w:val="24"/>
      <w:lang w:eastAsia="nb-NO"/>
    </w:rPr>
  </w:style>
  <w:style w:type="paragraph" w:styleId="Footer">
    <w:name w:val="footer"/>
    <w:basedOn w:val="Normal"/>
    <w:link w:val="FooterChar"/>
    <w:uiPriority w:val="99"/>
    <w:unhideWhenUsed/>
    <w:rsid w:val="009C3245"/>
    <w:pPr>
      <w:tabs>
        <w:tab w:val="center" w:pos="4536"/>
        <w:tab w:val="right" w:pos="9072"/>
      </w:tabs>
    </w:pPr>
  </w:style>
  <w:style w:type="character" w:customStyle="1" w:styleId="FooterChar">
    <w:name w:val="Footer Char"/>
    <w:basedOn w:val="DefaultParagraphFont"/>
    <w:link w:val="Footer"/>
    <w:uiPriority w:val="99"/>
    <w:rsid w:val="009C3245"/>
  </w:style>
  <w:style w:type="character" w:styleId="CommentReference">
    <w:name w:val="annotation reference"/>
    <w:basedOn w:val="DefaultParagraphFont"/>
    <w:uiPriority w:val="99"/>
    <w:semiHidden/>
    <w:unhideWhenUsed/>
    <w:rsid w:val="000426A8"/>
    <w:rPr>
      <w:sz w:val="16"/>
      <w:szCs w:val="16"/>
    </w:rPr>
  </w:style>
  <w:style w:type="paragraph" w:styleId="CommentText">
    <w:name w:val="annotation text"/>
    <w:basedOn w:val="Normal"/>
    <w:link w:val="CommentTextChar"/>
    <w:uiPriority w:val="99"/>
    <w:unhideWhenUsed/>
    <w:rsid w:val="000426A8"/>
    <w:rPr>
      <w:sz w:val="20"/>
      <w:szCs w:val="20"/>
    </w:rPr>
  </w:style>
  <w:style w:type="character" w:customStyle="1" w:styleId="CommentTextChar">
    <w:name w:val="Comment Text Char"/>
    <w:basedOn w:val="DefaultParagraphFont"/>
    <w:link w:val="CommentText"/>
    <w:uiPriority w:val="99"/>
    <w:rsid w:val="000426A8"/>
    <w:rPr>
      <w:sz w:val="20"/>
      <w:szCs w:val="20"/>
    </w:rPr>
  </w:style>
  <w:style w:type="paragraph" w:styleId="CommentSubject">
    <w:name w:val="annotation subject"/>
    <w:basedOn w:val="CommentText"/>
    <w:next w:val="CommentText"/>
    <w:link w:val="CommentSubjectChar"/>
    <w:uiPriority w:val="99"/>
    <w:semiHidden/>
    <w:unhideWhenUsed/>
    <w:rsid w:val="000426A8"/>
    <w:rPr>
      <w:b/>
      <w:bCs/>
    </w:rPr>
  </w:style>
  <w:style w:type="character" w:customStyle="1" w:styleId="CommentSubjectChar">
    <w:name w:val="Comment Subject Char"/>
    <w:basedOn w:val="CommentTextChar"/>
    <w:link w:val="CommentSubject"/>
    <w:uiPriority w:val="99"/>
    <w:semiHidden/>
    <w:rsid w:val="000426A8"/>
    <w:rPr>
      <w:b/>
      <w:bCs/>
      <w:sz w:val="20"/>
      <w:szCs w:val="20"/>
    </w:rPr>
  </w:style>
  <w:style w:type="paragraph" w:styleId="Revision">
    <w:name w:val="Revision"/>
    <w:hidden/>
    <w:uiPriority w:val="99"/>
    <w:semiHidden/>
    <w:rsid w:val="00F9055A"/>
  </w:style>
  <w:style w:type="table" w:styleId="TableGrid0">
    <w:name w:val="Table Grid"/>
    <w:basedOn w:val="TableNormal"/>
    <w:uiPriority w:val="39"/>
    <w:rsid w:val="00F15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1206B"/>
  </w:style>
  <w:style w:type="character" w:styleId="UnresolvedMention">
    <w:name w:val="Unresolved Mention"/>
    <w:basedOn w:val="DefaultParagraphFont"/>
    <w:uiPriority w:val="99"/>
    <w:semiHidden/>
    <w:unhideWhenUsed/>
    <w:rsid w:val="00C1206B"/>
    <w:rPr>
      <w:color w:val="605E5C"/>
      <w:shd w:val="clear" w:color="auto" w:fill="E1DFDD"/>
    </w:rPr>
  </w:style>
  <w:style w:type="paragraph" w:styleId="NoSpacing">
    <w:name w:val="No Spacing"/>
    <w:uiPriority w:val="1"/>
    <w:qFormat/>
    <w:rsid w:val="00CA0D47"/>
  </w:style>
  <w:style w:type="paragraph" w:styleId="Header">
    <w:name w:val="header"/>
    <w:basedOn w:val="Normal"/>
    <w:link w:val="HeaderChar"/>
    <w:uiPriority w:val="99"/>
    <w:unhideWhenUsed/>
    <w:rsid w:val="00DF6DCD"/>
    <w:pPr>
      <w:tabs>
        <w:tab w:val="center" w:pos="4536"/>
        <w:tab w:val="right" w:pos="9072"/>
      </w:tabs>
    </w:pPr>
  </w:style>
  <w:style w:type="character" w:customStyle="1" w:styleId="HeaderChar">
    <w:name w:val="Header Char"/>
    <w:basedOn w:val="DefaultParagraphFont"/>
    <w:link w:val="Header"/>
    <w:uiPriority w:val="99"/>
    <w:rsid w:val="00DF6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716">
      <w:bodyDiv w:val="1"/>
      <w:marLeft w:val="0"/>
      <w:marRight w:val="0"/>
      <w:marTop w:val="0"/>
      <w:marBottom w:val="0"/>
      <w:divBdr>
        <w:top w:val="none" w:sz="0" w:space="0" w:color="auto"/>
        <w:left w:val="none" w:sz="0" w:space="0" w:color="auto"/>
        <w:bottom w:val="none" w:sz="0" w:space="0" w:color="auto"/>
        <w:right w:val="none" w:sz="0" w:space="0" w:color="auto"/>
      </w:divBdr>
    </w:div>
    <w:div w:id="27295600">
      <w:bodyDiv w:val="1"/>
      <w:marLeft w:val="0"/>
      <w:marRight w:val="0"/>
      <w:marTop w:val="0"/>
      <w:marBottom w:val="0"/>
      <w:divBdr>
        <w:top w:val="none" w:sz="0" w:space="0" w:color="auto"/>
        <w:left w:val="none" w:sz="0" w:space="0" w:color="auto"/>
        <w:bottom w:val="none" w:sz="0" w:space="0" w:color="auto"/>
        <w:right w:val="none" w:sz="0" w:space="0" w:color="auto"/>
      </w:divBdr>
    </w:div>
    <w:div w:id="51119041">
      <w:bodyDiv w:val="1"/>
      <w:marLeft w:val="0"/>
      <w:marRight w:val="0"/>
      <w:marTop w:val="0"/>
      <w:marBottom w:val="0"/>
      <w:divBdr>
        <w:top w:val="none" w:sz="0" w:space="0" w:color="auto"/>
        <w:left w:val="none" w:sz="0" w:space="0" w:color="auto"/>
        <w:bottom w:val="none" w:sz="0" w:space="0" w:color="auto"/>
        <w:right w:val="none" w:sz="0" w:space="0" w:color="auto"/>
      </w:divBdr>
    </w:div>
    <w:div w:id="58329659">
      <w:bodyDiv w:val="1"/>
      <w:marLeft w:val="0"/>
      <w:marRight w:val="0"/>
      <w:marTop w:val="0"/>
      <w:marBottom w:val="0"/>
      <w:divBdr>
        <w:top w:val="none" w:sz="0" w:space="0" w:color="auto"/>
        <w:left w:val="none" w:sz="0" w:space="0" w:color="auto"/>
        <w:bottom w:val="none" w:sz="0" w:space="0" w:color="auto"/>
        <w:right w:val="none" w:sz="0" w:space="0" w:color="auto"/>
      </w:divBdr>
    </w:div>
    <w:div w:id="84301709">
      <w:bodyDiv w:val="1"/>
      <w:marLeft w:val="0"/>
      <w:marRight w:val="0"/>
      <w:marTop w:val="0"/>
      <w:marBottom w:val="0"/>
      <w:divBdr>
        <w:top w:val="none" w:sz="0" w:space="0" w:color="auto"/>
        <w:left w:val="none" w:sz="0" w:space="0" w:color="auto"/>
        <w:bottom w:val="none" w:sz="0" w:space="0" w:color="auto"/>
        <w:right w:val="none" w:sz="0" w:space="0" w:color="auto"/>
      </w:divBdr>
    </w:div>
    <w:div w:id="106435150">
      <w:bodyDiv w:val="1"/>
      <w:marLeft w:val="0"/>
      <w:marRight w:val="0"/>
      <w:marTop w:val="0"/>
      <w:marBottom w:val="0"/>
      <w:divBdr>
        <w:top w:val="none" w:sz="0" w:space="0" w:color="auto"/>
        <w:left w:val="none" w:sz="0" w:space="0" w:color="auto"/>
        <w:bottom w:val="none" w:sz="0" w:space="0" w:color="auto"/>
        <w:right w:val="none" w:sz="0" w:space="0" w:color="auto"/>
      </w:divBdr>
    </w:div>
    <w:div w:id="110905774">
      <w:bodyDiv w:val="1"/>
      <w:marLeft w:val="0"/>
      <w:marRight w:val="0"/>
      <w:marTop w:val="0"/>
      <w:marBottom w:val="0"/>
      <w:divBdr>
        <w:top w:val="none" w:sz="0" w:space="0" w:color="auto"/>
        <w:left w:val="none" w:sz="0" w:space="0" w:color="auto"/>
        <w:bottom w:val="none" w:sz="0" w:space="0" w:color="auto"/>
        <w:right w:val="none" w:sz="0" w:space="0" w:color="auto"/>
      </w:divBdr>
    </w:div>
    <w:div w:id="114449864">
      <w:bodyDiv w:val="1"/>
      <w:marLeft w:val="0"/>
      <w:marRight w:val="0"/>
      <w:marTop w:val="0"/>
      <w:marBottom w:val="0"/>
      <w:divBdr>
        <w:top w:val="none" w:sz="0" w:space="0" w:color="auto"/>
        <w:left w:val="none" w:sz="0" w:space="0" w:color="auto"/>
        <w:bottom w:val="none" w:sz="0" w:space="0" w:color="auto"/>
        <w:right w:val="none" w:sz="0" w:space="0" w:color="auto"/>
      </w:divBdr>
    </w:div>
    <w:div w:id="114950532">
      <w:bodyDiv w:val="1"/>
      <w:marLeft w:val="0"/>
      <w:marRight w:val="0"/>
      <w:marTop w:val="0"/>
      <w:marBottom w:val="0"/>
      <w:divBdr>
        <w:top w:val="none" w:sz="0" w:space="0" w:color="auto"/>
        <w:left w:val="none" w:sz="0" w:space="0" w:color="auto"/>
        <w:bottom w:val="none" w:sz="0" w:space="0" w:color="auto"/>
        <w:right w:val="none" w:sz="0" w:space="0" w:color="auto"/>
      </w:divBdr>
    </w:div>
    <w:div w:id="116873901">
      <w:marLeft w:val="0"/>
      <w:marRight w:val="0"/>
      <w:marTop w:val="0"/>
      <w:marBottom w:val="0"/>
      <w:divBdr>
        <w:top w:val="none" w:sz="0" w:space="0" w:color="auto"/>
        <w:left w:val="none" w:sz="0" w:space="0" w:color="auto"/>
        <w:bottom w:val="none" w:sz="0" w:space="0" w:color="auto"/>
        <w:right w:val="none" w:sz="0" w:space="0" w:color="auto"/>
      </w:divBdr>
    </w:div>
    <w:div w:id="117382726">
      <w:bodyDiv w:val="1"/>
      <w:marLeft w:val="0"/>
      <w:marRight w:val="0"/>
      <w:marTop w:val="0"/>
      <w:marBottom w:val="0"/>
      <w:divBdr>
        <w:top w:val="none" w:sz="0" w:space="0" w:color="auto"/>
        <w:left w:val="none" w:sz="0" w:space="0" w:color="auto"/>
        <w:bottom w:val="none" w:sz="0" w:space="0" w:color="auto"/>
        <w:right w:val="none" w:sz="0" w:space="0" w:color="auto"/>
      </w:divBdr>
    </w:div>
    <w:div w:id="138882291">
      <w:bodyDiv w:val="1"/>
      <w:marLeft w:val="0"/>
      <w:marRight w:val="0"/>
      <w:marTop w:val="0"/>
      <w:marBottom w:val="0"/>
      <w:divBdr>
        <w:top w:val="none" w:sz="0" w:space="0" w:color="auto"/>
        <w:left w:val="none" w:sz="0" w:space="0" w:color="auto"/>
        <w:bottom w:val="none" w:sz="0" w:space="0" w:color="auto"/>
        <w:right w:val="none" w:sz="0" w:space="0" w:color="auto"/>
      </w:divBdr>
    </w:div>
    <w:div w:id="143746092">
      <w:bodyDiv w:val="1"/>
      <w:marLeft w:val="0"/>
      <w:marRight w:val="0"/>
      <w:marTop w:val="0"/>
      <w:marBottom w:val="0"/>
      <w:divBdr>
        <w:top w:val="none" w:sz="0" w:space="0" w:color="auto"/>
        <w:left w:val="none" w:sz="0" w:space="0" w:color="auto"/>
        <w:bottom w:val="none" w:sz="0" w:space="0" w:color="auto"/>
        <w:right w:val="none" w:sz="0" w:space="0" w:color="auto"/>
      </w:divBdr>
    </w:div>
    <w:div w:id="159926393">
      <w:bodyDiv w:val="1"/>
      <w:marLeft w:val="0"/>
      <w:marRight w:val="0"/>
      <w:marTop w:val="0"/>
      <w:marBottom w:val="0"/>
      <w:divBdr>
        <w:top w:val="none" w:sz="0" w:space="0" w:color="auto"/>
        <w:left w:val="none" w:sz="0" w:space="0" w:color="auto"/>
        <w:bottom w:val="none" w:sz="0" w:space="0" w:color="auto"/>
        <w:right w:val="none" w:sz="0" w:space="0" w:color="auto"/>
      </w:divBdr>
    </w:div>
    <w:div w:id="173306163">
      <w:bodyDiv w:val="1"/>
      <w:marLeft w:val="0"/>
      <w:marRight w:val="0"/>
      <w:marTop w:val="0"/>
      <w:marBottom w:val="0"/>
      <w:divBdr>
        <w:top w:val="none" w:sz="0" w:space="0" w:color="auto"/>
        <w:left w:val="none" w:sz="0" w:space="0" w:color="auto"/>
        <w:bottom w:val="none" w:sz="0" w:space="0" w:color="auto"/>
        <w:right w:val="none" w:sz="0" w:space="0" w:color="auto"/>
      </w:divBdr>
    </w:div>
    <w:div w:id="189031752">
      <w:bodyDiv w:val="1"/>
      <w:marLeft w:val="0"/>
      <w:marRight w:val="0"/>
      <w:marTop w:val="0"/>
      <w:marBottom w:val="0"/>
      <w:divBdr>
        <w:top w:val="none" w:sz="0" w:space="0" w:color="auto"/>
        <w:left w:val="none" w:sz="0" w:space="0" w:color="auto"/>
        <w:bottom w:val="none" w:sz="0" w:space="0" w:color="auto"/>
        <w:right w:val="none" w:sz="0" w:space="0" w:color="auto"/>
      </w:divBdr>
    </w:div>
    <w:div w:id="208231259">
      <w:bodyDiv w:val="1"/>
      <w:marLeft w:val="0"/>
      <w:marRight w:val="0"/>
      <w:marTop w:val="0"/>
      <w:marBottom w:val="0"/>
      <w:divBdr>
        <w:top w:val="none" w:sz="0" w:space="0" w:color="auto"/>
        <w:left w:val="none" w:sz="0" w:space="0" w:color="auto"/>
        <w:bottom w:val="none" w:sz="0" w:space="0" w:color="auto"/>
        <w:right w:val="none" w:sz="0" w:space="0" w:color="auto"/>
      </w:divBdr>
    </w:div>
    <w:div w:id="218517373">
      <w:bodyDiv w:val="1"/>
      <w:marLeft w:val="0"/>
      <w:marRight w:val="0"/>
      <w:marTop w:val="0"/>
      <w:marBottom w:val="0"/>
      <w:divBdr>
        <w:top w:val="none" w:sz="0" w:space="0" w:color="auto"/>
        <w:left w:val="none" w:sz="0" w:space="0" w:color="auto"/>
        <w:bottom w:val="none" w:sz="0" w:space="0" w:color="auto"/>
        <w:right w:val="none" w:sz="0" w:space="0" w:color="auto"/>
      </w:divBdr>
    </w:div>
    <w:div w:id="222107577">
      <w:bodyDiv w:val="1"/>
      <w:marLeft w:val="0"/>
      <w:marRight w:val="0"/>
      <w:marTop w:val="0"/>
      <w:marBottom w:val="0"/>
      <w:divBdr>
        <w:top w:val="none" w:sz="0" w:space="0" w:color="auto"/>
        <w:left w:val="none" w:sz="0" w:space="0" w:color="auto"/>
        <w:bottom w:val="none" w:sz="0" w:space="0" w:color="auto"/>
        <w:right w:val="none" w:sz="0" w:space="0" w:color="auto"/>
      </w:divBdr>
    </w:div>
    <w:div w:id="235285901">
      <w:bodyDiv w:val="1"/>
      <w:marLeft w:val="0"/>
      <w:marRight w:val="0"/>
      <w:marTop w:val="0"/>
      <w:marBottom w:val="0"/>
      <w:divBdr>
        <w:top w:val="none" w:sz="0" w:space="0" w:color="auto"/>
        <w:left w:val="none" w:sz="0" w:space="0" w:color="auto"/>
        <w:bottom w:val="none" w:sz="0" w:space="0" w:color="auto"/>
        <w:right w:val="none" w:sz="0" w:space="0" w:color="auto"/>
      </w:divBdr>
    </w:div>
    <w:div w:id="237987006">
      <w:bodyDiv w:val="1"/>
      <w:marLeft w:val="0"/>
      <w:marRight w:val="0"/>
      <w:marTop w:val="0"/>
      <w:marBottom w:val="0"/>
      <w:divBdr>
        <w:top w:val="none" w:sz="0" w:space="0" w:color="auto"/>
        <w:left w:val="none" w:sz="0" w:space="0" w:color="auto"/>
        <w:bottom w:val="none" w:sz="0" w:space="0" w:color="auto"/>
        <w:right w:val="none" w:sz="0" w:space="0" w:color="auto"/>
      </w:divBdr>
    </w:div>
    <w:div w:id="238098970">
      <w:bodyDiv w:val="1"/>
      <w:marLeft w:val="0"/>
      <w:marRight w:val="0"/>
      <w:marTop w:val="0"/>
      <w:marBottom w:val="0"/>
      <w:divBdr>
        <w:top w:val="none" w:sz="0" w:space="0" w:color="auto"/>
        <w:left w:val="none" w:sz="0" w:space="0" w:color="auto"/>
        <w:bottom w:val="none" w:sz="0" w:space="0" w:color="auto"/>
        <w:right w:val="none" w:sz="0" w:space="0" w:color="auto"/>
      </w:divBdr>
    </w:div>
    <w:div w:id="255095847">
      <w:bodyDiv w:val="1"/>
      <w:marLeft w:val="0"/>
      <w:marRight w:val="0"/>
      <w:marTop w:val="0"/>
      <w:marBottom w:val="0"/>
      <w:divBdr>
        <w:top w:val="none" w:sz="0" w:space="0" w:color="auto"/>
        <w:left w:val="none" w:sz="0" w:space="0" w:color="auto"/>
        <w:bottom w:val="none" w:sz="0" w:space="0" w:color="auto"/>
        <w:right w:val="none" w:sz="0" w:space="0" w:color="auto"/>
      </w:divBdr>
    </w:div>
    <w:div w:id="260112769">
      <w:bodyDiv w:val="1"/>
      <w:marLeft w:val="0"/>
      <w:marRight w:val="0"/>
      <w:marTop w:val="0"/>
      <w:marBottom w:val="0"/>
      <w:divBdr>
        <w:top w:val="none" w:sz="0" w:space="0" w:color="auto"/>
        <w:left w:val="none" w:sz="0" w:space="0" w:color="auto"/>
        <w:bottom w:val="none" w:sz="0" w:space="0" w:color="auto"/>
        <w:right w:val="none" w:sz="0" w:space="0" w:color="auto"/>
      </w:divBdr>
    </w:div>
    <w:div w:id="282999767">
      <w:bodyDiv w:val="1"/>
      <w:marLeft w:val="0"/>
      <w:marRight w:val="0"/>
      <w:marTop w:val="0"/>
      <w:marBottom w:val="0"/>
      <w:divBdr>
        <w:top w:val="none" w:sz="0" w:space="0" w:color="auto"/>
        <w:left w:val="none" w:sz="0" w:space="0" w:color="auto"/>
        <w:bottom w:val="none" w:sz="0" w:space="0" w:color="auto"/>
        <w:right w:val="none" w:sz="0" w:space="0" w:color="auto"/>
      </w:divBdr>
    </w:div>
    <w:div w:id="289365943">
      <w:bodyDiv w:val="1"/>
      <w:marLeft w:val="0"/>
      <w:marRight w:val="0"/>
      <w:marTop w:val="0"/>
      <w:marBottom w:val="0"/>
      <w:divBdr>
        <w:top w:val="none" w:sz="0" w:space="0" w:color="auto"/>
        <w:left w:val="none" w:sz="0" w:space="0" w:color="auto"/>
        <w:bottom w:val="none" w:sz="0" w:space="0" w:color="auto"/>
        <w:right w:val="none" w:sz="0" w:space="0" w:color="auto"/>
      </w:divBdr>
    </w:div>
    <w:div w:id="293487576">
      <w:bodyDiv w:val="1"/>
      <w:marLeft w:val="0"/>
      <w:marRight w:val="0"/>
      <w:marTop w:val="0"/>
      <w:marBottom w:val="0"/>
      <w:divBdr>
        <w:top w:val="none" w:sz="0" w:space="0" w:color="auto"/>
        <w:left w:val="none" w:sz="0" w:space="0" w:color="auto"/>
        <w:bottom w:val="none" w:sz="0" w:space="0" w:color="auto"/>
        <w:right w:val="none" w:sz="0" w:space="0" w:color="auto"/>
      </w:divBdr>
    </w:div>
    <w:div w:id="305597562">
      <w:bodyDiv w:val="1"/>
      <w:marLeft w:val="0"/>
      <w:marRight w:val="0"/>
      <w:marTop w:val="0"/>
      <w:marBottom w:val="0"/>
      <w:divBdr>
        <w:top w:val="none" w:sz="0" w:space="0" w:color="auto"/>
        <w:left w:val="none" w:sz="0" w:space="0" w:color="auto"/>
        <w:bottom w:val="none" w:sz="0" w:space="0" w:color="auto"/>
        <w:right w:val="none" w:sz="0" w:space="0" w:color="auto"/>
      </w:divBdr>
    </w:div>
    <w:div w:id="320817817">
      <w:bodyDiv w:val="1"/>
      <w:marLeft w:val="0"/>
      <w:marRight w:val="0"/>
      <w:marTop w:val="0"/>
      <w:marBottom w:val="0"/>
      <w:divBdr>
        <w:top w:val="none" w:sz="0" w:space="0" w:color="auto"/>
        <w:left w:val="none" w:sz="0" w:space="0" w:color="auto"/>
        <w:bottom w:val="none" w:sz="0" w:space="0" w:color="auto"/>
        <w:right w:val="none" w:sz="0" w:space="0" w:color="auto"/>
      </w:divBdr>
    </w:div>
    <w:div w:id="323049572">
      <w:bodyDiv w:val="1"/>
      <w:marLeft w:val="0"/>
      <w:marRight w:val="0"/>
      <w:marTop w:val="0"/>
      <w:marBottom w:val="0"/>
      <w:divBdr>
        <w:top w:val="none" w:sz="0" w:space="0" w:color="auto"/>
        <w:left w:val="none" w:sz="0" w:space="0" w:color="auto"/>
        <w:bottom w:val="none" w:sz="0" w:space="0" w:color="auto"/>
        <w:right w:val="none" w:sz="0" w:space="0" w:color="auto"/>
      </w:divBdr>
    </w:div>
    <w:div w:id="349528570">
      <w:bodyDiv w:val="1"/>
      <w:marLeft w:val="0"/>
      <w:marRight w:val="0"/>
      <w:marTop w:val="0"/>
      <w:marBottom w:val="0"/>
      <w:divBdr>
        <w:top w:val="none" w:sz="0" w:space="0" w:color="auto"/>
        <w:left w:val="none" w:sz="0" w:space="0" w:color="auto"/>
        <w:bottom w:val="none" w:sz="0" w:space="0" w:color="auto"/>
        <w:right w:val="none" w:sz="0" w:space="0" w:color="auto"/>
      </w:divBdr>
    </w:div>
    <w:div w:id="362095217">
      <w:bodyDiv w:val="1"/>
      <w:marLeft w:val="0"/>
      <w:marRight w:val="0"/>
      <w:marTop w:val="0"/>
      <w:marBottom w:val="0"/>
      <w:divBdr>
        <w:top w:val="none" w:sz="0" w:space="0" w:color="auto"/>
        <w:left w:val="none" w:sz="0" w:space="0" w:color="auto"/>
        <w:bottom w:val="none" w:sz="0" w:space="0" w:color="auto"/>
        <w:right w:val="none" w:sz="0" w:space="0" w:color="auto"/>
      </w:divBdr>
    </w:div>
    <w:div w:id="370620075">
      <w:bodyDiv w:val="1"/>
      <w:marLeft w:val="0"/>
      <w:marRight w:val="0"/>
      <w:marTop w:val="0"/>
      <w:marBottom w:val="0"/>
      <w:divBdr>
        <w:top w:val="none" w:sz="0" w:space="0" w:color="auto"/>
        <w:left w:val="none" w:sz="0" w:space="0" w:color="auto"/>
        <w:bottom w:val="none" w:sz="0" w:space="0" w:color="auto"/>
        <w:right w:val="none" w:sz="0" w:space="0" w:color="auto"/>
      </w:divBdr>
    </w:div>
    <w:div w:id="370962046">
      <w:marLeft w:val="0"/>
      <w:marRight w:val="0"/>
      <w:marTop w:val="0"/>
      <w:marBottom w:val="0"/>
      <w:divBdr>
        <w:top w:val="none" w:sz="0" w:space="0" w:color="auto"/>
        <w:left w:val="none" w:sz="0" w:space="0" w:color="auto"/>
        <w:bottom w:val="none" w:sz="0" w:space="0" w:color="auto"/>
        <w:right w:val="none" w:sz="0" w:space="0" w:color="auto"/>
      </w:divBdr>
    </w:div>
    <w:div w:id="375853251">
      <w:bodyDiv w:val="1"/>
      <w:marLeft w:val="0"/>
      <w:marRight w:val="0"/>
      <w:marTop w:val="0"/>
      <w:marBottom w:val="0"/>
      <w:divBdr>
        <w:top w:val="none" w:sz="0" w:space="0" w:color="auto"/>
        <w:left w:val="none" w:sz="0" w:space="0" w:color="auto"/>
        <w:bottom w:val="none" w:sz="0" w:space="0" w:color="auto"/>
        <w:right w:val="none" w:sz="0" w:space="0" w:color="auto"/>
      </w:divBdr>
    </w:div>
    <w:div w:id="394352893">
      <w:bodyDiv w:val="1"/>
      <w:marLeft w:val="0"/>
      <w:marRight w:val="0"/>
      <w:marTop w:val="0"/>
      <w:marBottom w:val="0"/>
      <w:divBdr>
        <w:top w:val="none" w:sz="0" w:space="0" w:color="auto"/>
        <w:left w:val="none" w:sz="0" w:space="0" w:color="auto"/>
        <w:bottom w:val="none" w:sz="0" w:space="0" w:color="auto"/>
        <w:right w:val="none" w:sz="0" w:space="0" w:color="auto"/>
      </w:divBdr>
    </w:div>
    <w:div w:id="420226541">
      <w:bodyDiv w:val="1"/>
      <w:marLeft w:val="0"/>
      <w:marRight w:val="0"/>
      <w:marTop w:val="0"/>
      <w:marBottom w:val="0"/>
      <w:divBdr>
        <w:top w:val="none" w:sz="0" w:space="0" w:color="auto"/>
        <w:left w:val="none" w:sz="0" w:space="0" w:color="auto"/>
        <w:bottom w:val="none" w:sz="0" w:space="0" w:color="auto"/>
        <w:right w:val="none" w:sz="0" w:space="0" w:color="auto"/>
      </w:divBdr>
    </w:div>
    <w:div w:id="442262201">
      <w:bodyDiv w:val="1"/>
      <w:marLeft w:val="0"/>
      <w:marRight w:val="0"/>
      <w:marTop w:val="0"/>
      <w:marBottom w:val="0"/>
      <w:divBdr>
        <w:top w:val="none" w:sz="0" w:space="0" w:color="auto"/>
        <w:left w:val="none" w:sz="0" w:space="0" w:color="auto"/>
        <w:bottom w:val="none" w:sz="0" w:space="0" w:color="auto"/>
        <w:right w:val="none" w:sz="0" w:space="0" w:color="auto"/>
      </w:divBdr>
    </w:div>
    <w:div w:id="446697649">
      <w:bodyDiv w:val="1"/>
      <w:marLeft w:val="0"/>
      <w:marRight w:val="0"/>
      <w:marTop w:val="0"/>
      <w:marBottom w:val="0"/>
      <w:divBdr>
        <w:top w:val="none" w:sz="0" w:space="0" w:color="auto"/>
        <w:left w:val="none" w:sz="0" w:space="0" w:color="auto"/>
        <w:bottom w:val="none" w:sz="0" w:space="0" w:color="auto"/>
        <w:right w:val="none" w:sz="0" w:space="0" w:color="auto"/>
      </w:divBdr>
    </w:div>
    <w:div w:id="461462910">
      <w:bodyDiv w:val="1"/>
      <w:marLeft w:val="0"/>
      <w:marRight w:val="0"/>
      <w:marTop w:val="0"/>
      <w:marBottom w:val="0"/>
      <w:divBdr>
        <w:top w:val="none" w:sz="0" w:space="0" w:color="auto"/>
        <w:left w:val="none" w:sz="0" w:space="0" w:color="auto"/>
        <w:bottom w:val="none" w:sz="0" w:space="0" w:color="auto"/>
        <w:right w:val="none" w:sz="0" w:space="0" w:color="auto"/>
      </w:divBdr>
    </w:div>
    <w:div w:id="464084626">
      <w:bodyDiv w:val="1"/>
      <w:marLeft w:val="0"/>
      <w:marRight w:val="0"/>
      <w:marTop w:val="0"/>
      <w:marBottom w:val="0"/>
      <w:divBdr>
        <w:top w:val="none" w:sz="0" w:space="0" w:color="auto"/>
        <w:left w:val="none" w:sz="0" w:space="0" w:color="auto"/>
        <w:bottom w:val="none" w:sz="0" w:space="0" w:color="auto"/>
        <w:right w:val="none" w:sz="0" w:space="0" w:color="auto"/>
      </w:divBdr>
    </w:div>
    <w:div w:id="523829277">
      <w:bodyDiv w:val="1"/>
      <w:marLeft w:val="0"/>
      <w:marRight w:val="0"/>
      <w:marTop w:val="0"/>
      <w:marBottom w:val="0"/>
      <w:divBdr>
        <w:top w:val="none" w:sz="0" w:space="0" w:color="auto"/>
        <w:left w:val="none" w:sz="0" w:space="0" w:color="auto"/>
        <w:bottom w:val="none" w:sz="0" w:space="0" w:color="auto"/>
        <w:right w:val="none" w:sz="0" w:space="0" w:color="auto"/>
      </w:divBdr>
    </w:div>
    <w:div w:id="567695022">
      <w:bodyDiv w:val="1"/>
      <w:marLeft w:val="0"/>
      <w:marRight w:val="0"/>
      <w:marTop w:val="0"/>
      <w:marBottom w:val="0"/>
      <w:divBdr>
        <w:top w:val="none" w:sz="0" w:space="0" w:color="auto"/>
        <w:left w:val="none" w:sz="0" w:space="0" w:color="auto"/>
        <w:bottom w:val="none" w:sz="0" w:space="0" w:color="auto"/>
        <w:right w:val="none" w:sz="0" w:space="0" w:color="auto"/>
      </w:divBdr>
    </w:div>
    <w:div w:id="576748391">
      <w:bodyDiv w:val="1"/>
      <w:marLeft w:val="0"/>
      <w:marRight w:val="0"/>
      <w:marTop w:val="0"/>
      <w:marBottom w:val="0"/>
      <w:divBdr>
        <w:top w:val="none" w:sz="0" w:space="0" w:color="auto"/>
        <w:left w:val="none" w:sz="0" w:space="0" w:color="auto"/>
        <w:bottom w:val="none" w:sz="0" w:space="0" w:color="auto"/>
        <w:right w:val="none" w:sz="0" w:space="0" w:color="auto"/>
      </w:divBdr>
    </w:div>
    <w:div w:id="587734763">
      <w:bodyDiv w:val="1"/>
      <w:marLeft w:val="0"/>
      <w:marRight w:val="0"/>
      <w:marTop w:val="0"/>
      <w:marBottom w:val="0"/>
      <w:divBdr>
        <w:top w:val="none" w:sz="0" w:space="0" w:color="auto"/>
        <w:left w:val="none" w:sz="0" w:space="0" w:color="auto"/>
        <w:bottom w:val="none" w:sz="0" w:space="0" w:color="auto"/>
        <w:right w:val="none" w:sz="0" w:space="0" w:color="auto"/>
      </w:divBdr>
    </w:div>
    <w:div w:id="598102120">
      <w:marLeft w:val="0"/>
      <w:marRight w:val="0"/>
      <w:marTop w:val="0"/>
      <w:marBottom w:val="0"/>
      <w:divBdr>
        <w:top w:val="none" w:sz="0" w:space="0" w:color="auto"/>
        <w:left w:val="none" w:sz="0" w:space="0" w:color="auto"/>
        <w:bottom w:val="none" w:sz="0" w:space="0" w:color="auto"/>
        <w:right w:val="none" w:sz="0" w:space="0" w:color="auto"/>
      </w:divBdr>
    </w:div>
    <w:div w:id="599678611">
      <w:bodyDiv w:val="1"/>
      <w:marLeft w:val="0"/>
      <w:marRight w:val="0"/>
      <w:marTop w:val="0"/>
      <w:marBottom w:val="0"/>
      <w:divBdr>
        <w:top w:val="none" w:sz="0" w:space="0" w:color="auto"/>
        <w:left w:val="none" w:sz="0" w:space="0" w:color="auto"/>
        <w:bottom w:val="none" w:sz="0" w:space="0" w:color="auto"/>
        <w:right w:val="none" w:sz="0" w:space="0" w:color="auto"/>
      </w:divBdr>
    </w:div>
    <w:div w:id="605308050">
      <w:bodyDiv w:val="1"/>
      <w:marLeft w:val="0"/>
      <w:marRight w:val="0"/>
      <w:marTop w:val="0"/>
      <w:marBottom w:val="0"/>
      <w:divBdr>
        <w:top w:val="none" w:sz="0" w:space="0" w:color="auto"/>
        <w:left w:val="none" w:sz="0" w:space="0" w:color="auto"/>
        <w:bottom w:val="none" w:sz="0" w:space="0" w:color="auto"/>
        <w:right w:val="none" w:sz="0" w:space="0" w:color="auto"/>
      </w:divBdr>
    </w:div>
    <w:div w:id="628366602">
      <w:bodyDiv w:val="1"/>
      <w:marLeft w:val="0"/>
      <w:marRight w:val="0"/>
      <w:marTop w:val="0"/>
      <w:marBottom w:val="0"/>
      <w:divBdr>
        <w:top w:val="none" w:sz="0" w:space="0" w:color="auto"/>
        <w:left w:val="none" w:sz="0" w:space="0" w:color="auto"/>
        <w:bottom w:val="none" w:sz="0" w:space="0" w:color="auto"/>
        <w:right w:val="none" w:sz="0" w:space="0" w:color="auto"/>
      </w:divBdr>
    </w:div>
    <w:div w:id="630213580">
      <w:bodyDiv w:val="1"/>
      <w:marLeft w:val="0"/>
      <w:marRight w:val="0"/>
      <w:marTop w:val="0"/>
      <w:marBottom w:val="0"/>
      <w:divBdr>
        <w:top w:val="none" w:sz="0" w:space="0" w:color="auto"/>
        <w:left w:val="none" w:sz="0" w:space="0" w:color="auto"/>
        <w:bottom w:val="none" w:sz="0" w:space="0" w:color="auto"/>
        <w:right w:val="none" w:sz="0" w:space="0" w:color="auto"/>
      </w:divBdr>
    </w:div>
    <w:div w:id="631519817">
      <w:bodyDiv w:val="1"/>
      <w:marLeft w:val="0"/>
      <w:marRight w:val="0"/>
      <w:marTop w:val="0"/>
      <w:marBottom w:val="0"/>
      <w:divBdr>
        <w:top w:val="none" w:sz="0" w:space="0" w:color="auto"/>
        <w:left w:val="none" w:sz="0" w:space="0" w:color="auto"/>
        <w:bottom w:val="none" w:sz="0" w:space="0" w:color="auto"/>
        <w:right w:val="none" w:sz="0" w:space="0" w:color="auto"/>
      </w:divBdr>
    </w:div>
    <w:div w:id="641741180">
      <w:bodyDiv w:val="1"/>
      <w:marLeft w:val="0"/>
      <w:marRight w:val="0"/>
      <w:marTop w:val="0"/>
      <w:marBottom w:val="0"/>
      <w:divBdr>
        <w:top w:val="none" w:sz="0" w:space="0" w:color="auto"/>
        <w:left w:val="none" w:sz="0" w:space="0" w:color="auto"/>
        <w:bottom w:val="none" w:sz="0" w:space="0" w:color="auto"/>
        <w:right w:val="none" w:sz="0" w:space="0" w:color="auto"/>
      </w:divBdr>
    </w:div>
    <w:div w:id="649873182">
      <w:bodyDiv w:val="1"/>
      <w:marLeft w:val="0"/>
      <w:marRight w:val="0"/>
      <w:marTop w:val="0"/>
      <w:marBottom w:val="0"/>
      <w:divBdr>
        <w:top w:val="none" w:sz="0" w:space="0" w:color="auto"/>
        <w:left w:val="none" w:sz="0" w:space="0" w:color="auto"/>
        <w:bottom w:val="none" w:sz="0" w:space="0" w:color="auto"/>
        <w:right w:val="none" w:sz="0" w:space="0" w:color="auto"/>
      </w:divBdr>
    </w:div>
    <w:div w:id="663627303">
      <w:bodyDiv w:val="1"/>
      <w:marLeft w:val="0"/>
      <w:marRight w:val="0"/>
      <w:marTop w:val="0"/>
      <w:marBottom w:val="0"/>
      <w:divBdr>
        <w:top w:val="none" w:sz="0" w:space="0" w:color="auto"/>
        <w:left w:val="none" w:sz="0" w:space="0" w:color="auto"/>
        <w:bottom w:val="none" w:sz="0" w:space="0" w:color="auto"/>
        <w:right w:val="none" w:sz="0" w:space="0" w:color="auto"/>
      </w:divBdr>
    </w:div>
    <w:div w:id="678388897">
      <w:bodyDiv w:val="1"/>
      <w:marLeft w:val="0"/>
      <w:marRight w:val="0"/>
      <w:marTop w:val="0"/>
      <w:marBottom w:val="0"/>
      <w:divBdr>
        <w:top w:val="none" w:sz="0" w:space="0" w:color="auto"/>
        <w:left w:val="none" w:sz="0" w:space="0" w:color="auto"/>
        <w:bottom w:val="none" w:sz="0" w:space="0" w:color="auto"/>
        <w:right w:val="none" w:sz="0" w:space="0" w:color="auto"/>
      </w:divBdr>
    </w:div>
    <w:div w:id="685445904">
      <w:bodyDiv w:val="1"/>
      <w:marLeft w:val="0"/>
      <w:marRight w:val="0"/>
      <w:marTop w:val="0"/>
      <w:marBottom w:val="0"/>
      <w:divBdr>
        <w:top w:val="none" w:sz="0" w:space="0" w:color="auto"/>
        <w:left w:val="none" w:sz="0" w:space="0" w:color="auto"/>
        <w:bottom w:val="none" w:sz="0" w:space="0" w:color="auto"/>
        <w:right w:val="none" w:sz="0" w:space="0" w:color="auto"/>
      </w:divBdr>
    </w:div>
    <w:div w:id="696930662">
      <w:bodyDiv w:val="1"/>
      <w:marLeft w:val="0"/>
      <w:marRight w:val="0"/>
      <w:marTop w:val="0"/>
      <w:marBottom w:val="0"/>
      <w:divBdr>
        <w:top w:val="none" w:sz="0" w:space="0" w:color="auto"/>
        <w:left w:val="none" w:sz="0" w:space="0" w:color="auto"/>
        <w:bottom w:val="none" w:sz="0" w:space="0" w:color="auto"/>
        <w:right w:val="none" w:sz="0" w:space="0" w:color="auto"/>
      </w:divBdr>
    </w:div>
    <w:div w:id="708143738">
      <w:bodyDiv w:val="1"/>
      <w:marLeft w:val="0"/>
      <w:marRight w:val="0"/>
      <w:marTop w:val="0"/>
      <w:marBottom w:val="0"/>
      <w:divBdr>
        <w:top w:val="none" w:sz="0" w:space="0" w:color="auto"/>
        <w:left w:val="none" w:sz="0" w:space="0" w:color="auto"/>
        <w:bottom w:val="none" w:sz="0" w:space="0" w:color="auto"/>
        <w:right w:val="none" w:sz="0" w:space="0" w:color="auto"/>
      </w:divBdr>
    </w:div>
    <w:div w:id="710812011">
      <w:bodyDiv w:val="1"/>
      <w:marLeft w:val="0"/>
      <w:marRight w:val="0"/>
      <w:marTop w:val="0"/>
      <w:marBottom w:val="0"/>
      <w:divBdr>
        <w:top w:val="none" w:sz="0" w:space="0" w:color="auto"/>
        <w:left w:val="none" w:sz="0" w:space="0" w:color="auto"/>
        <w:bottom w:val="none" w:sz="0" w:space="0" w:color="auto"/>
        <w:right w:val="none" w:sz="0" w:space="0" w:color="auto"/>
      </w:divBdr>
    </w:div>
    <w:div w:id="752509379">
      <w:bodyDiv w:val="1"/>
      <w:marLeft w:val="0"/>
      <w:marRight w:val="0"/>
      <w:marTop w:val="0"/>
      <w:marBottom w:val="0"/>
      <w:divBdr>
        <w:top w:val="none" w:sz="0" w:space="0" w:color="auto"/>
        <w:left w:val="none" w:sz="0" w:space="0" w:color="auto"/>
        <w:bottom w:val="none" w:sz="0" w:space="0" w:color="auto"/>
        <w:right w:val="none" w:sz="0" w:space="0" w:color="auto"/>
      </w:divBdr>
    </w:div>
    <w:div w:id="759301758">
      <w:bodyDiv w:val="1"/>
      <w:marLeft w:val="0"/>
      <w:marRight w:val="0"/>
      <w:marTop w:val="0"/>
      <w:marBottom w:val="0"/>
      <w:divBdr>
        <w:top w:val="none" w:sz="0" w:space="0" w:color="auto"/>
        <w:left w:val="none" w:sz="0" w:space="0" w:color="auto"/>
        <w:bottom w:val="none" w:sz="0" w:space="0" w:color="auto"/>
        <w:right w:val="none" w:sz="0" w:space="0" w:color="auto"/>
      </w:divBdr>
    </w:div>
    <w:div w:id="763569653">
      <w:bodyDiv w:val="1"/>
      <w:marLeft w:val="0"/>
      <w:marRight w:val="0"/>
      <w:marTop w:val="0"/>
      <w:marBottom w:val="0"/>
      <w:divBdr>
        <w:top w:val="none" w:sz="0" w:space="0" w:color="auto"/>
        <w:left w:val="none" w:sz="0" w:space="0" w:color="auto"/>
        <w:bottom w:val="none" w:sz="0" w:space="0" w:color="auto"/>
        <w:right w:val="none" w:sz="0" w:space="0" w:color="auto"/>
      </w:divBdr>
    </w:div>
    <w:div w:id="766584837">
      <w:bodyDiv w:val="1"/>
      <w:marLeft w:val="0"/>
      <w:marRight w:val="0"/>
      <w:marTop w:val="0"/>
      <w:marBottom w:val="0"/>
      <w:divBdr>
        <w:top w:val="none" w:sz="0" w:space="0" w:color="auto"/>
        <w:left w:val="none" w:sz="0" w:space="0" w:color="auto"/>
        <w:bottom w:val="none" w:sz="0" w:space="0" w:color="auto"/>
        <w:right w:val="none" w:sz="0" w:space="0" w:color="auto"/>
      </w:divBdr>
    </w:div>
    <w:div w:id="771508397">
      <w:bodyDiv w:val="1"/>
      <w:marLeft w:val="0"/>
      <w:marRight w:val="0"/>
      <w:marTop w:val="0"/>
      <w:marBottom w:val="0"/>
      <w:divBdr>
        <w:top w:val="none" w:sz="0" w:space="0" w:color="auto"/>
        <w:left w:val="none" w:sz="0" w:space="0" w:color="auto"/>
        <w:bottom w:val="none" w:sz="0" w:space="0" w:color="auto"/>
        <w:right w:val="none" w:sz="0" w:space="0" w:color="auto"/>
      </w:divBdr>
    </w:div>
    <w:div w:id="775171619">
      <w:bodyDiv w:val="1"/>
      <w:marLeft w:val="0"/>
      <w:marRight w:val="0"/>
      <w:marTop w:val="0"/>
      <w:marBottom w:val="0"/>
      <w:divBdr>
        <w:top w:val="none" w:sz="0" w:space="0" w:color="auto"/>
        <w:left w:val="none" w:sz="0" w:space="0" w:color="auto"/>
        <w:bottom w:val="none" w:sz="0" w:space="0" w:color="auto"/>
        <w:right w:val="none" w:sz="0" w:space="0" w:color="auto"/>
      </w:divBdr>
    </w:div>
    <w:div w:id="781849651">
      <w:bodyDiv w:val="1"/>
      <w:marLeft w:val="0"/>
      <w:marRight w:val="0"/>
      <w:marTop w:val="0"/>
      <w:marBottom w:val="0"/>
      <w:divBdr>
        <w:top w:val="none" w:sz="0" w:space="0" w:color="auto"/>
        <w:left w:val="none" w:sz="0" w:space="0" w:color="auto"/>
        <w:bottom w:val="none" w:sz="0" w:space="0" w:color="auto"/>
        <w:right w:val="none" w:sz="0" w:space="0" w:color="auto"/>
      </w:divBdr>
    </w:div>
    <w:div w:id="790897065">
      <w:bodyDiv w:val="1"/>
      <w:marLeft w:val="0"/>
      <w:marRight w:val="0"/>
      <w:marTop w:val="0"/>
      <w:marBottom w:val="0"/>
      <w:divBdr>
        <w:top w:val="none" w:sz="0" w:space="0" w:color="auto"/>
        <w:left w:val="none" w:sz="0" w:space="0" w:color="auto"/>
        <w:bottom w:val="none" w:sz="0" w:space="0" w:color="auto"/>
        <w:right w:val="none" w:sz="0" w:space="0" w:color="auto"/>
      </w:divBdr>
    </w:div>
    <w:div w:id="796875033">
      <w:bodyDiv w:val="1"/>
      <w:marLeft w:val="0"/>
      <w:marRight w:val="0"/>
      <w:marTop w:val="0"/>
      <w:marBottom w:val="0"/>
      <w:divBdr>
        <w:top w:val="none" w:sz="0" w:space="0" w:color="auto"/>
        <w:left w:val="none" w:sz="0" w:space="0" w:color="auto"/>
        <w:bottom w:val="none" w:sz="0" w:space="0" w:color="auto"/>
        <w:right w:val="none" w:sz="0" w:space="0" w:color="auto"/>
      </w:divBdr>
    </w:div>
    <w:div w:id="800923359">
      <w:bodyDiv w:val="1"/>
      <w:marLeft w:val="0"/>
      <w:marRight w:val="0"/>
      <w:marTop w:val="0"/>
      <w:marBottom w:val="0"/>
      <w:divBdr>
        <w:top w:val="none" w:sz="0" w:space="0" w:color="auto"/>
        <w:left w:val="none" w:sz="0" w:space="0" w:color="auto"/>
        <w:bottom w:val="none" w:sz="0" w:space="0" w:color="auto"/>
        <w:right w:val="none" w:sz="0" w:space="0" w:color="auto"/>
      </w:divBdr>
    </w:div>
    <w:div w:id="834150873">
      <w:bodyDiv w:val="1"/>
      <w:marLeft w:val="0"/>
      <w:marRight w:val="0"/>
      <w:marTop w:val="0"/>
      <w:marBottom w:val="0"/>
      <w:divBdr>
        <w:top w:val="none" w:sz="0" w:space="0" w:color="auto"/>
        <w:left w:val="none" w:sz="0" w:space="0" w:color="auto"/>
        <w:bottom w:val="none" w:sz="0" w:space="0" w:color="auto"/>
        <w:right w:val="none" w:sz="0" w:space="0" w:color="auto"/>
      </w:divBdr>
    </w:div>
    <w:div w:id="837425123">
      <w:bodyDiv w:val="1"/>
      <w:marLeft w:val="0"/>
      <w:marRight w:val="0"/>
      <w:marTop w:val="0"/>
      <w:marBottom w:val="0"/>
      <w:divBdr>
        <w:top w:val="none" w:sz="0" w:space="0" w:color="auto"/>
        <w:left w:val="none" w:sz="0" w:space="0" w:color="auto"/>
        <w:bottom w:val="none" w:sz="0" w:space="0" w:color="auto"/>
        <w:right w:val="none" w:sz="0" w:space="0" w:color="auto"/>
      </w:divBdr>
    </w:div>
    <w:div w:id="849181659">
      <w:bodyDiv w:val="1"/>
      <w:marLeft w:val="0"/>
      <w:marRight w:val="0"/>
      <w:marTop w:val="0"/>
      <w:marBottom w:val="0"/>
      <w:divBdr>
        <w:top w:val="none" w:sz="0" w:space="0" w:color="auto"/>
        <w:left w:val="none" w:sz="0" w:space="0" w:color="auto"/>
        <w:bottom w:val="none" w:sz="0" w:space="0" w:color="auto"/>
        <w:right w:val="none" w:sz="0" w:space="0" w:color="auto"/>
      </w:divBdr>
    </w:div>
    <w:div w:id="854423781">
      <w:bodyDiv w:val="1"/>
      <w:marLeft w:val="0"/>
      <w:marRight w:val="0"/>
      <w:marTop w:val="0"/>
      <w:marBottom w:val="0"/>
      <w:divBdr>
        <w:top w:val="none" w:sz="0" w:space="0" w:color="auto"/>
        <w:left w:val="none" w:sz="0" w:space="0" w:color="auto"/>
        <w:bottom w:val="none" w:sz="0" w:space="0" w:color="auto"/>
        <w:right w:val="none" w:sz="0" w:space="0" w:color="auto"/>
      </w:divBdr>
    </w:div>
    <w:div w:id="870997968">
      <w:bodyDiv w:val="1"/>
      <w:marLeft w:val="0"/>
      <w:marRight w:val="0"/>
      <w:marTop w:val="0"/>
      <w:marBottom w:val="0"/>
      <w:divBdr>
        <w:top w:val="none" w:sz="0" w:space="0" w:color="auto"/>
        <w:left w:val="none" w:sz="0" w:space="0" w:color="auto"/>
        <w:bottom w:val="none" w:sz="0" w:space="0" w:color="auto"/>
        <w:right w:val="none" w:sz="0" w:space="0" w:color="auto"/>
      </w:divBdr>
    </w:div>
    <w:div w:id="893811424">
      <w:bodyDiv w:val="1"/>
      <w:marLeft w:val="0"/>
      <w:marRight w:val="0"/>
      <w:marTop w:val="0"/>
      <w:marBottom w:val="0"/>
      <w:divBdr>
        <w:top w:val="none" w:sz="0" w:space="0" w:color="auto"/>
        <w:left w:val="none" w:sz="0" w:space="0" w:color="auto"/>
        <w:bottom w:val="none" w:sz="0" w:space="0" w:color="auto"/>
        <w:right w:val="none" w:sz="0" w:space="0" w:color="auto"/>
      </w:divBdr>
    </w:div>
    <w:div w:id="919873789">
      <w:bodyDiv w:val="1"/>
      <w:marLeft w:val="0"/>
      <w:marRight w:val="0"/>
      <w:marTop w:val="0"/>
      <w:marBottom w:val="0"/>
      <w:divBdr>
        <w:top w:val="none" w:sz="0" w:space="0" w:color="auto"/>
        <w:left w:val="none" w:sz="0" w:space="0" w:color="auto"/>
        <w:bottom w:val="none" w:sz="0" w:space="0" w:color="auto"/>
        <w:right w:val="none" w:sz="0" w:space="0" w:color="auto"/>
      </w:divBdr>
    </w:div>
    <w:div w:id="928543323">
      <w:bodyDiv w:val="1"/>
      <w:marLeft w:val="0"/>
      <w:marRight w:val="0"/>
      <w:marTop w:val="0"/>
      <w:marBottom w:val="0"/>
      <w:divBdr>
        <w:top w:val="none" w:sz="0" w:space="0" w:color="auto"/>
        <w:left w:val="none" w:sz="0" w:space="0" w:color="auto"/>
        <w:bottom w:val="none" w:sz="0" w:space="0" w:color="auto"/>
        <w:right w:val="none" w:sz="0" w:space="0" w:color="auto"/>
      </w:divBdr>
    </w:div>
    <w:div w:id="940256555">
      <w:bodyDiv w:val="1"/>
      <w:marLeft w:val="0"/>
      <w:marRight w:val="0"/>
      <w:marTop w:val="0"/>
      <w:marBottom w:val="0"/>
      <w:divBdr>
        <w:top w:val="none" w:sz="0" w:space="0" w:color="auto"/>
        <w:left w:val="none" w:sz="0" w:space="0" w:color="auto"/>
        <w:bottom w:val="none" w:sz="0" w:space="0" w:color="auto"/>
        <w:right w:val="none" w:sz="0" w:space="0" w:color="auto"/>
      </w:divBdr>
    </w:div>
    <w:div w:id="944995240">
      <w:bodyDiv w:val="1"/>
      <w:marLeft w:val="0"/>
      <w:marRight w:val="0"/>
      <w:marTop w:val="0"/>
      <w:marBottom w:val="0"/>
      <w:divBdr>
        <w:top w:val="none" w:sz="0" w:space="0" w:color="auto"/>
        <w:left w:val="none" w:sz="0" w:space="0" w:color="auto"/>
        <w:bottom w:val="none" w:sz="0" w:space="0" w:color="auto"/>
        <w:right w:val="none" w:sz="0" w:space="0" w:color="auto"/>
      </w:divBdr>
    </w:div>
    <w:div w:id="958536608">
      <w:bodyDiv w:val="1"/>
      <w:marLeft w:val="0"/>
      <w:marRight w:val="0"/>
      <w:marTop w:val="0"/>
      <w:marBottom w:val="0"/>
      <w:divBdr>
        <w:top w:val="none" w:sz="0" w:space="0" w:color="auto"/>
        <w:left w:val="none" w:sz="0" w:space="0" w:color="auto"/>
        <w:bottom w:val="none" w:sz="0" w:space="0" w:color="auto"/>
        <w:right w:val="none" w:sz="0" w:space="0" w:color="auto"/>
      </w:divBdr>
    </w:div>
    <w:div w:id="968514276">
      <w:bodyDiv w:val="1"/>
      <w:marLeft w:val="0"/>
      <w:marRight w:val="0"/>
      <w:marTop w:val="0"/>
      <w:marBottom w:val="0"/>
      <w:divBdr>
        <w:top w:val="none" w:sz="0" w:space="0" w:color="auto"/>
        <w:left w:val="none" w:sz="0" w:space="0" w:color="auto"/>
        <w:bottom w:val="none" w:sz="0" w:space="0" w:color="auto"/>
        <w:right w:val="none" w:sz="0" w:space="0" w:color="auto"/>
      </w:divBdr>
    </w:div>
    <w:div w:id="997735496">
      <w:bodyDiv w:val="1"/>
      <w:marLeft w:val="0"/>
      <w:marRight w:val="0"/>
      <w:marTop w:val="0"/>
      <w:marBottom w:val="0"/>
      <w:divBdr>
        <w:top w:val="none" w:sz="0" w:space="0" w:color="auto"/>
        <w:left w:val="none" w:sz="0" w:space="0" w:color="auto"/>
        <w:bottom w:val="none" w:sz="0" w:space="0" w:color="auto"/>
        <w:right w:val="none" w:sz="0" w:space="0" w:color="auto"/>
      </w:divBdr>
    </w:div>
    <w:div w:id="1006371568">
      <w:bodyDiv w:val="1"/>
      <w:marLeft w:val="0"/>
      <w:marRight w:val="0"/>
      <w:marTop w:val="0"/>
      <w:marBottom w:val="0"/>
      <w:divBdr>
        <w:top w:val="none" w:sz="0" w:space="0" w:color="auto"/>
        <w:left w:val="none" w:sz="0" w:space="0" w:color="auto"/>
        <w:bottom w:val="none" w:sz="0" w:space="0" w:color="auto"/>
        <w:right w:val="none" w:sz="0" w:space="0" w:color="auto"/>
      </w:divBdr>
    </w:div>
    <w:div w:id="1013580276">
      <w:bodyDiv w:val="1"/>
      <w:marLeft w:val="0"/>
      <w:marRight w:val="0"/>
      <w:marTop w:val="0"/>
      <w:marBottom w:val="0"/>
      <w:divBdr>
        <w:top w:val="none" w:sz="0" w:space="0" w:color="auto"/>
        <w:left w:val="none" w:sz="0" w:space="0" w:color="auto"/>
        <w:bottom w:val="none" w:sz="0" w:space="0" w:color="auto"/>
        <w:right w:val="none" w:sz="0" w:space="0" w:color="auto"/>
      </w:divBdr>
    </w:div>
    <w:div w:id="1032069010">
      <w:bodyDiv w:val="1"/>
      <w:marLeft w:val="0"/>
      <w:marRight w:val="0"/>
      <w:marTop w:val="0"/>
      <w:marBottom w:val="0"/>
      <w:divBdr>
        <w:top w:val="none" w:sz="0" w:space="0" w:color="auto"/>
        <w:left w:val="none" w:sz="0" w:space="0" w:color="auto"/>
        <w:bottom w:val="none" w:sz="0" w:space="0" w:color="auto"/>
        <w:right w:val="none" w:sz="0" w:space="0" w:color="auto"/>
      </w:divBdr>
    </w:div>
    <w:div w:id="1034885211">
      <w:bodyDiv w:val="1"/>
      <w:marLeft w:val="0"/>
      <w:marRight w:val="0"/>
      <w:marTop w:val="0"/>
      <w:marBottom w:val="0"/>
      <w:divBdr>
        <w:top w:val="none" w:sz="0" w:space="0" w:color="auto"/>
        <w:left w:val="none" w:sz="0" w:space="0" w:color="auto"/>
        <w:bottom w:val="none" w:sz="0" w:space="0" w:color="auto"/>
        <w:right w:val="none" w:sz="0" w:space="0" w:color="auto"/>
      </w:divBdr>
    </w:div>
    <w:div w:id="1044869953">
      <w:bodyDiv w:val="1"/>
      <w:marLeft w:val="0"/>
      <w:marRight w:val="0"/>
      <w:marTop w:val="0"/>
      <w:marBottom w:val="0"/>
      <w:divBdr>
        <w:top w:val="none" w:sz="0" w:space="0" w:color="auto"/>
        <w:left w:val="none" w:sz="0" w:space="0" w:color="auto"/>
        <w:bottom w:val="none" w:sz="0" w:space="0" w:color="auto"/>
        <w:right w:val="none" w:sz="0" w:space="0" w:color="auto"/>
      </w:divBdr>
    </w:div>
    <w:div w:id="1061756287">
      <w:bodyDiv w:val="1"/>
      <w:marLeft w:val="0"/>
      <w:marRight w:val="0"/>
      <w:marTop w:val="0"/>
      <w:marBottom w:val="0"/>
      <w:divBdr>
        <w:top w:val="none" w:sz="0" w:space="0" w:color="auto"/>
        <w:left w:val="none" w:sz="0" w:space="0" w:color="auto"/>
        <w:bottom w:val="none" w:sz="0" w:space="0" w:color="auto"/>
        <w:right w:val="none" w:sz="0" w:space="0" w:color="auto"/>
      </w:divBdr>
    </w:div>
    <w:div w:id="1063605242">
      <w:bodyDiv w:val="1"/>
      <w:marLeft w:val="0"/>
      <w:marRight w:val="0"/>
      <w:marTop w:val="0"/>
      <w:marBottom w:val="0"/>
      <w:divBdr>
        <w:top w:val="none" w:sz="0" w:space="0" w:color="auto"/>
        <w:left w:val="none" w:sz="0" w:space="0" w:color="auto"/>
        <w:bottom w:val="none" w:sz="0" w:space="0" w:color="auto"/>
        <w:right w:val="none" w:sz="0" w:space="0" w:color="auto"/>
      </w:divBdr>
    </w:div>
    <w:div w:id="1074737805">
      <w:bodyDiv w:val="1"/>
      <w:marLeft w:val="0"/>
      <w:marRight w:val="0"/>
      <w:marTop w:val="0"/>
      <w:marBottom w:val="0"/>
      <w:divBdr>
        <w:top w:val="none" w:sz="0" w:space="0" w:color="auto"/>
        <w:left w:val="none" w:sz="0" w:space="0" w:color="auto"/>
        <w:bottom w:val="none" w:sz="0" w:space="0" w:color="auto"/>
        <w:right w:val="none" w:sz="0" w:space="0" w:color="auto"/>
      </w:divBdr>
    </w:div>
    <w:div w:id="1091856213">
      <w:bodyDiv w:val="1"/>
      <w:marLeft w:val="0"/>
      <w:marRight w:val="0"/>
      <w:marTop w:val="0"/>
      <w:marBottom w:val="0"/>
      <w:divBdr>
        <w:top w:val="none" w:sz="0" w:space="0" w:color="auto"/>
        <w:left w:val="none" w:sz="0" w:space="0" w:color="auto"/>
        <w:bottom w:val="none" w:sz="0" w:space="0" w:color="auto"/>
        <w:right w:val="none" w:sz="0" w:space="0" w:color="auto"/>
      </w:divBdr>
    </w:div>
    <w:div w:id="1102335292">
      <w:bodyDiv w:val="1"/>
      <w:marLeft w:val="0"/>
      <w:marRight w:val="0"/>
      <w:marTop w:val="0"/>
      <w:marBottom w:val="0"/>
      <w:divBdr>
        <w:top w:val="none" w:sz="0" w:space="0" w:color="auto"/>
        <w:left w:val="none" w:sz="0" w:space="0" w:color="auto"/>
        <w:bottom w:val="none" w:sz="0" w:space="0" w:color="auto"/>
        <w:right w:val="none" w:sz="0" w:space="0" w:color="auto"/>
      </w:divBdr>
    </w:div>
    <w:div w:id="1118790863">
      <w:bodyDiv w:val="1"/>
      <w:marLeft w:val="0"/>
      <w:marRight w:val="0"/>
      <w:marTop w:val="0"/>
      <w:marBottom w:val="0"/>
      <w:divBdr>
        <w:top w:val="none" w:sz="0" w:space="0" w:color="auto"/>
        <w:left w:val="none" w:sz="0" w:space="0" w:color="auto"/>
        <w:bottom w:val="none" w:sz="0" w:space="0" w:color="auto"/>
        <w:right w:val="none" w:sz="0" w:space="0" w:color="auto"/>
      </w:divBdr>
    </w:div>
    <w:div w:id="1141579092">
      <w:bodyDiv w:val="1"/>
      <w:marLeft w:val="0"/>
      <w:marRight w:val="0"/>
      <w:marTop w:val="0"/>
      <w:marBottom w:val="0"/>
      <w:divBdr>
        <w:top w:val="none" w:sz="0" w:space="0" w:color="auto"/>
        <w:left w:val="none" w:sz="0" w:space="0" w:color="auto"/>
        <w:bottom w:val="none" w:sz="0" w:space="0" w:color="auto"/>
        <w:right w:val="none" w:sz="0" w:space="0" w:color="auto"/>
      </w:divBdr>
    </w:div>
    <w:div w:id="1154447282">
      <w:bodyDiv w:val="1"/>
      <w:marLeft w:val="0"/>
      <w:marRight w:val="0"/>
      <w:marTop w:val="0"/>
      <w:marBottom w:val="0"/>
      <w:divBdr>
        <w:top w:val="none" w:sz="0" w:space="0" w:color="auto"/>
        <w:left w:val="none" w:sz="0" w:space="0" w:color="auto"/>
        <w:bottom w:val="none" w:sz="0" w:space="0" w:color="auto"/>
        <w:right w:val="none" w:sz="0" w:space="0" w:color="auto"/>
      </w:divBdr>
    </w:div>
    <w:div w:id="1170877534">
      <w:bodyDiv w:val="1"/>
      <w:marLeft w:val="0"/>
      <w:marRight w:val="0"/>
      <w:marTop w:val="0"/>
      <w:marBottom w:val="0"/>
      <w:divBdr>
        <w:top w:val="none" w:sz="0" w:space="0" w:color="auto"/>
        <w:left w:val="none" w:sz="0" w:space="0" w:color="auto"/>
        <w:bottom w:val="none" w:sz="0" w:space="0" w:color="auto"/>
        <w:right w:val="none" w:sz="0" w:space="0" w:color="auto"/>
      </w:divBdr>
    </w:div>
    <w:div w:id="1172715815">
      <w:bodyDiv w:val="1"/>
      <w:marLeft w:val="0"/>
      <w:marRight w:val="0"/>
      <w:marTop w:val="0"/>
      <w:marBottom w:val="0"/>
      <w:divBdr>
        <w:top w:val="none" w:sz="0" w:space="0" w:color="auto"/>
        <w:left w:val="none" w:sz="0" w:space="0" w:color="auto"/>
        <w:bottom w:val="none" w:sz="0" w:space="0" w:color="auto"/>
        <w:right w:val="none" w:sz="0" w:space="0" w:color="auto"/>
      </w:divBdr>
    </w:div>
    <w:div w:id="1207834040">
      <w:bodyDiv w:val="1"/>
      <w:marLeft w:val="0"/>
      <w:marRight w:val="0"/>
      <w:marTop w:val="0"/>
      <w:marBottom w:val="0"/>
      <w:divBdr>
        <w:top w:val="none" w:sz="0" w:space="0" w:color="auto"/>
        <w:left w:val="none" w:sz="0" w:space="0" w:color="auto"/>
        <w:bottom w:val="none" w:sz="0" w:space="0" w:color="auto"/>
        <w:right w:val="none" w:sz="0" w:space="0" w:color="auto"/>
      </w:divBdr>
    </w:div>
    <w:div w:id="1208223465">
      <w:bodyDiv w:val="1"/>
      <w:marLeft w:val="0"/>
      <w:marRight w:val="0"/>
      <w:marTop w:val="0"/>
      <w:marBottom w:val="0"/>
      <w:divBdr>
        <w:top w:val="none" w:sz="0" w:space="0" w:color="auto"/>
        <w:left w:val="none" w:sz="0" w:space="0" w:color="auto"/>
        <w:bottom w:val="none" w:sz="0" w:space="0" w:color="auto"/>
        <w:right w:val="none" w:sz="0" w:space="0" w:color="auto"/>
      </w:divBdr>
    </w:div>
    <w:div w:id="1213226583">
      <w:bodyDiv w:val="1"/>
      <w:marLeft w:val="0"/>
      <w:marRight w:val="0"/>
      <w:marTop w:val="0"/>
      <w:marBottom w:val="0"/>
      <w:divBdr>
        <w:top w:val="none" w:sz="0" w:space="0" w:color="auto"/>
        <w:left w:val="none" w:sz="0" w:space="0" w:color="auto"/>
        <w:bottom w:val="none" w:sz="0" w:space="0" w:color="auto"/>
        <w:right w:val="none" w:sz="0" w:space="0" w:color="auto"/>
      </w:divBdr>
    </w:div>
    <w:div w:id="1219393572">
      <w:bodyDiv w:val="1"/>
      <w:marLeft w:val="0"/>
      <w:marRight w:val="0"/>
      <w:marTop w:val="0"/>
      <w:marBottom w:val="0"/>
      <w:divBdr>
        <w:top w:val="none" w:sz="0" w:space="0" w:color="auto"/>
        <w:left w:val="none" w:sz="0" w:space="0" w:color="auto"/>
        <w:bottom w:val="none" w:sz="0" w:space="0" w:color="auto"/>
        <w:right w:val="none" w:sz="0" w:space="0" w:color="auto"/>
      </w:divBdr>
    </w:div>
    <w:div w:id="1234508528">
      <w:bodyDiv w:val="1"/>
      <w:marLeft w:val="0"/>
      <w:marRight w:val="0"/>
      <w:marTop w:val="0"/>
      <w:marBottom w:val="0"/>
      <w:divBdr>
        <w:top w:val="none" w:sz="0" w:space="0" w:color="auto"/>
        <w:left w:val="none" w:sz="0" w:space="0" w:color="auto"/>
        <w:bottom w:val="none" w:sz="0" w:space="0" w:color="auto"/>
        <w:right w:val="none" w:sz="0" w:space="0" w:color="auto"/>
      </w:divBdr>
    </w:div>
    <w:div w:id="1257404589">
      <w:bodyDiv w:val="1"/>
      <w:marLeft w:val="0"/>
      <w:marRight w:val="0"/>
      <w:marTop w:val="0"/>
      <w:marBottom w:val="0"/>
      <w:divBdr>
        <w:top w:val="none" w:sz="0" w:space="0" w:color="auto"/>
        <w:left w:val="none" w:sz="0" w:space="0" w:color="auto"/>
        <w:bottom w:val="none" w:sz="0" w:space="0" w:color="auto"/>
        <w:right w:val="none" w:sz="0" w:space="0" w:color="auto"/>
      </w:divBdr>
    </w:div>
    <w:div w:id="1257405418">
      <w:bodyDiv w:val="1"/>
      <w:marLeft w:val="0"/>
      <w:marRight w:val="0"/>
      <w:marTop w:val="0"/>
      <w:marBottom w:val="0"/>
      <w:divBdr>
        <w:top w:val="none" w:sz="0" w:space="0" w:color="auto"/>
        <w:left w:val="none" w:sz="0" w:space="0" w:color="auto"/>
        <w:bottom w:val="none" w:sz="0" w:space="0" w:color="auto"/>
        <w:right w:val="none" w:sz="0" w:space="0" w:color="auto"/>
      </w:divBdr>
    </w:div>
    <w:div w:id="1259632655">
      <w:bodyDiv w:val="1"/>
      <w:marLeft w:val="0"/>
      <w:marRight w:val="0"/>
      <w:marTop w:val="0"/>
      <w:marBottom w:val="0"/>
      <w:divBdr>
        <w:top w:val="none" w:sz="0" w:space="0" w:color="auto"/>
        <w:left w:val="none" w:sz="0" w:space="0" w:color="auto"/>
        <w:bottom w:val="none" w:sz="0" w:space="0" w:color="auto"/>
        <w:right w:val="none" w:sz="0" w:space="0" w:color="auto"/>
      </w:divBdr>
    </w:div>
    <w:div w:id="1260330742">
      <w:bodyDiv w:val="1"/>
      <w:marLeft w:val="0"/>
      <w:marRight w:val="0"/>
      <w:marTop w:val="0"/>
      <w:marBottom w:val="0"/>
      <w:divBdr>
        <w:top w:val="none" w:sz="0" w:space="0" w:color="auto"/>
        <w:left w:val="none" w:sz="0" w:space="0" w:color="auto"/>
        <w:bottom w:val="none" w:sz="0" w:space="0" w:color="auto"/>
        <w:right w:val="none" w:sz="0" w:space="0" w:color="auto"/>
      </w:divBdr>
    </w:div>
    <w:div w:id="1262566460">
      <w:bodyDiv w:val="1"/>
      <w:marLeft w:val="0"/>
      <w:marRight w:val="0"/>
      <w:marTop w:val="0"/>
      <w:marBottom w:val="0"/>
      <w:divBdr>
        <w:top w:val="none" w:sz="0" w:space="0" w:color="auto"/>
        <w:left w:val="none" w:sz="0" w:space="0" w:color="auto"/>
        <w:bottom w:val="none" w:sz="0" w:space="0" w:color="auto"/>
        <w:right w:val="none" w:sz="0" w:space="0" w:color="auto"/>
      </w:divBdr>
    </w:div>
    <w:div w:id="1277179460">
      <w:bodyDiv w:val="1"/>
      <w:marLeft w:val="0"/>
      <w:marRight w:val="0"/>
      <w:marTop w:val="0"/>
      <w:marBottom w:val="0"/>
      <w:divBdr>
        <w:top w:val="none" w:sz="0" w:space="0" w:color="auto"/>
        <w:left w:val="none" w:sz="0" w:space="0" w:color="auto"/>
        <w:bottom w:val="none" w:sz="0" w:space="0" w:color="auto"/>
        <w:right w:val="none" w:sz="0" w:space="0" w:color="auto"/>
      </w:divBdr>
    </w:div>
    <w:div w:id="1279024424">
      <w:bodyDiv w:val="1"/>
      <w:marLeft w:val="0"/>
      <w:marRight w:val="0"/>
      <w:marTop w:val="0"/>
      <w:marBottom w:val="0"/>
      <w:divBdr>
        <w:top w:val="none" w:sz="0" w:space="0" w:color="auto"/>
        <w:left w:val="none" w:sz="0" w:space="0" w:color="auto"/>
        <w:bottom w:val="none" w:sz="0" w:space="0" w:color="auto"/>
        <w:right w:val="none" w:sz="0" w:space="0" w:color="auto"/>
      </w:divBdr>
    </w:div>
    <w:div w:id="1285388844">
      <w:bodyDiv w:val="1"/>
      <w:marLeft w:val="0"/>
      <w:marRight w:val="0"/>
      <w:marTop w:val="0"/>
      <w:marBottom w:val="0"/>
      <w:divBdr>
        <w:top w:val="none" w:sz="0" w:space="0" w:color="auto"/>
        <w:left w:val="none" w:sz="0" w:space="0" w:color="auto"/>
        <w:bottom w:val="none" w:sz="0" w:space="0" w:color="auto"/>
        <w:right w:val="none" w:sz="0" w:space="0" w:color="auto"/>
      </w:divBdr>
    </w:div>
    <w:div w:id="1287931619">
      <w:bodyDiv w:val="1"/>
      <w:marLeft w:val="0"/>
      <w:marRight w:val="0"/>
      <w:marTop w:val="0"/>
      <w:marBottom w:val="0"/>
      <w:divBdr>
        <w:top w:val="none" w:sz="0" w:space="0" w:color="auto"/>
        <w:left w:val="none" w:sz="0" w:space="0" w:color="auto"/>
        <w:bottom w:val="none" w:sz="0" w:space="0" w:color="auto"/>
        <w:right w:val="none" w:sz="0" w:space="0" w:color="auto"/>
      </w:divBdr>
    </w:div>
    <w:div w:id="1313020146">
      <w:bodyDiv w:val="1"/>
      <w:marLeft w:val="0"/>
      <w:marRight w:val="0"/>
      <w:marTop w:val="0"/>
      <w:marBottom w:val="0"/>
      <w:divBdr>
        <w:top w:val="none" w:sz="0" w:space="0" w:color="auto"/>
        <w:left w:val="none" w:sz="0" w:space="0" w:color="auto"/>
        <w:bottom w:val="none" w:sz="0" w:space="0" w:color="auto"/>
        <w:right w:val="none" w:sz="0" w:space="0" w:color="auto"/>
      </w:divBdr>
    </w:div>
    <w:div w:id="1319191505">
      <w:bodyDiv w:val="1"/>
      <w:marLeft w:val="0"/>
      <w:marRight w:val="0"/>
      <w:marTop w:val="0"/>
      <w:marBottom w:val="0"/>
      <w:divBdr>
        <w:top w:val="none" w:sz="0" w:space="0" w:color="auto"/>
        <w:left w:val="none" w:sz="0" w:space="0" w:color="auto"/>
        <w:bottom w:val="none" w:sz="0" w:space="0" w:color="auto"/>
        <w:right w:val="none" w:sz="0" w:space="0" w:color="auto"/>
      </w:divBdr>
    </w:div>
    <w:div w:id="1319381247">
      <w:bodyDiv w:val="1"/>
      <w:marLeft w:val="0"/>
      <w:marRight w:val="0"/>
      <w:marTop w:val="0"/>
      <w:marBottom w:val="0"/>
      <w:divBdr>
        <w:top w:val="none" w:sz="0" w:space="0" w:color="auto"/>
        <w:left w:val="none" w:sz="0" w:space="0" w:color="auto"/>
        <w:bottom w:val="none" w:sz="0" w:space="0" w:color="auto"/>
        <w:right w:val="none" w:sz="0" w:space="0" w:color="auto"/>
      </w:divBdr>
    </w:div>
    <w:div w:id="1319502161">
      <w:bodyDiv w:val="1"/>
      <w:marLeft w:val="0"/>
      <w:marRight w:val="0"/>
      <w:marTop w:val="0"/>
      <w:marBottom w:val="0"/>
      <w:divBdr>
        <w:top w:val="none" w:sz="0" w:space="0" w:color="auto"/>
        <w:left w:val="none" w:sz="0" w:space="0" w:color="auto"/>
        <w:bottom w:val="none" w:sz="0" w:space="0" w:color="auto"/>
        <w:right w:val="none" w:sz="0" w:space="0" w:color="auto"/>
      </w:divBdr>
    </w:div>
    <w:div w:id="1333872348">
      <w:bodyDiv w:val="1"/>
      <w:marLeft w:val="0"/>
      <w:marRight w:val="0"/>
      <w:marTop w:val="0"/>
      <w:marBottom w:val="0"/>
      <w:divBdr>
        <w:top w:val="none" w:sz="0" w:space="0" w:color="auto"/>
        <w:left w:val="none" w:sz="0" w:space="0" w:color="auto"/>
        <w:bottom w:val="none" w:sz="0" w:space="0" w:color="auto"/>
        <w:right w:val="none" w:sz="0" w:space="0" w:color="auto"/>
      </w:divBdr>
    </w:div>
    <w:div w:id="1379744772">
      <w:bodyDiv w:val="1"/>
      <w:marLeft w:val="0"/>
      <w:marRight w:val="0"/>
      <w:marTop w:val="0"/>
      <w:marBottom w:val="0"/>
      <w:divBdr>
        <w:top w:val="none" w:sz="0" w:space="0" w:color="auto"/>
        <w:left w:val="none" w:sz="0" w:space="0" w:color="auto"/>
        <w:bottom w:val="none" w:sz="0" w:space="0" w:color="auto"/>
        <w:right w:val="none" w:sz="0" w:space="0" w:color="auto"/>
      </w:divBdr>
    </w:div>
    <w:div w:id="1398170746">
      <w:bodyDiv w:val="1"/>
      <w:marLeft w:val="0"/>
      <w:marRight w:val="0"/>
      <w:marTop w:val="0"/>
      <w:marBottom w:val="0"/>
      <w:divBdr>
        <w:top w:val="none" w:sz="0" w:space="0" w:color="auto"/>
        <w:left w:val="none" w:sz="0" w:space="0" w:color="auto"/>
        <w:bottom w:val="none" w:sz="0" w:space="0" w:color="auto"/>
        <w:right w:val="none" w:sz="0" w:space="0" w:color="auto"/>
      </w:divBdr>
    </w:div>
    <w:div w:id="1401054780">
      <w:bodyDiv w:val="1"/>
      <w:marLeft w:val="0"/>
      <w:marRight w:val="0"/>
      <w:marTop w:val="0"/>
      <w:marBottom w:val="0"/>
      <w:divBdr>
        <w:top w:val="none" w:sz="0" w:space="0" w:color="auto"/>
        <w:left w:val="none" w:sz="0" w:space="0" w:color="auto"/>
        <w:bottom w:val="none" w:sz="0" w:space="0" w:color="auto"/>
        <w:right w:val="none" w:sz="0" w:space="0" w:color="auto"/>
      </w:divBdr>
    </w:div>
    <w:div w:id="1414666321">
      <w:bodyDiv w:val="1"/>
      <w:marLeft w:val="0"/>
      <w:marRight w:val="0"/>
      <w:marTop w:val="0"/>
      <w:marBottom w:val="0"/>
      <w:divBdr>
        <w:top w:val="none" w:sz="0" w:space="0" w:color="auto"/>
        <w:left w:val="none" w:sz="0" w:space="0" w:color="auto"/>
        <w:bottom w:val="none" w:sz="0" w:space="0" w:color="auto"/>
        <w:right w:val="none" w:sz="0" w:space="0" w:color="auto"/>
      </w:divBdr>
    </w:div>
    <w:div w:id="1456942985">
      <w:bodyDiv w:val="1"/>
      <w:marLeft w:val="0"/>
      <w:marRight w:val="0"/>
      <w:marTop w:val="0"/>
      <w:marBottom w:val="0"/>
      <w:divBdr>
        <w:top w:val="none" w:sz="0" w:space="0" w:color="auto"/>
        <w:left w:val="none" w:sz="0" w:space="0" w:color="auto"/>
        <w:bottom w:val="none" w:sz="0" w:space="0" w:color="auto"/>
        <w:right w:val="none" w:sz="0" w:space="0" w:color="auto"/>
      </w:divBdr>
    </w:div>
    <w:div w:id="1467048171">
      <w:bodyDiv w:val="1"/>
      <w:marLeft w:val="0"/>
      <w:marRight w:val="0"/>
      <w:marTop w:val="0"/>
      <w:marBottom w:val="0"/>
      <w:divBdr>
        <w:top w:val="none" w:sz="0" w:space="0" w:color="auto"/>
        <w:left w:val="none" w:sz="0" w:space="0" w:color="auto"/>
        <w:bottom w:val="none" w:sz="0" w:space="0" w:color="auto"/>
        <w:right w:val="none" w:sz="0" w:space="0" w:color="auto"/>
      </w:divBdr>
    </w:div>
    <w:div w:id="1474103035">
      <w:bodyDiv w:val="1"/>
      <w:marLeft w:val="0"/>
      <w:marRight w:val="0"/>
      <w:marTop w:val="0"/>
      <w:marBottom w:val="0"/>
      <w:divBdr>
        <w:top w:val="none" w:sz="0" w:space="0" w:color="auto"/>
        <w:left w:val="none" w:sz="0" w:space="0" w:color="auto"/>
        <w:bottom w:val="none" w:sz="0" w:space="0" w:color="auto"/>
        <w:right w:val="none" w:sz="0" w:space="0" w:color="auto"/>
      </w:divBdr>
    </w:div>
    <w:div w:id="1487939945">
      <w:bodyDiv w:val="1"/>
      <w:marLeft w:val="0"/>
      <w:marRight w:val="0"/>
      <w:marTop w:val="0"/>
      <w:marBottom w:val="0"/>
      <w:divBdr>
        <w:top w:val="none" w:sz="0" w:space="0" w:color="auto"/>
        <w:left w:val="none" w:sz="0" w:space="0" w:color="auto"/>
        <w:bottom w:val="none" w:sz="0" w:space="0" w:color="auto"/>
        <w:right w:val="none" w:sz="0" w:space="0" w:color="auto"/>
      </w:divBdr>
    </w:div>
    <w:div w:id="1490827427">
      <w:bodyDiv w:val="1"/>
      <w:marLeft w:val="0"/>
      <w:marRight w:val="0"/>
      <w:marTop w:val="0"/>
      <w:marBottom w:val="0"/>
      <w:divBdr>
        <w:top w:val="none" w:sz="0" w:space="0" w:color="auto"/>
        <w:left w:val="none" w:sz="0" w:space="0" w:color="auto"/>
        <w:bottom w:val="none" w:sz="0" w:space="0" w:color="auto"/>
        <w:right w:val="none" w:sz="0" w:space="0" w:color="auto"/>
      </w:divBdr>
    </w:div>
    <w:div w:id="1503079759">
      <w:bodyDiv w:val="1"/>
      <w:marLeft w:val="0"/>
      <w:marRight w:val="0"/>
      <w:marTop w:val="0"/>
      <w:marBottom w:val="0"/>
      <w:divBdr>
        <w:top w:val="none" w:sz="0" w:space="0" w:color="auto"/>
        <w:left w:val="none" w:sz="0" w:space="0" w:color="auto"/>
        <w:bottom w:val="none" w:sz="0" w:space="0" w:color="auto"/>
        <w:right w:val="none" w:sz="0" w:space="0" w:color="auto"/>
      </w:divBdr>
    </w:div>
    <w:div w:id="1509296544">
      <w:bodyDiv w:val="1"/>
      <w:marLeft w:val="0"/>
      <w:marRight w:val="0"/>
      <w:marTop w:val="0"/>
      <w:marBottom w:val="0"/>
      <w:divBdr>
        <w:top w:val="none" w:sz="0" w:space="0" w:color="auto"/>
        <w:left w:val="none" w:sz="0" w:space="0" w:color="auto"/>
        <w:bottom w:val="none" w:sz="0" w:space="0" w:color="auto"/>
        <w:right w:val="none" w:sz="0" w:space="0" w:color="auto"/>
      </w:divBdr>
    </w:div>
    <w:div w:id="1514610553">
      <w:bodyDiv w:val="1"/>
      <w:marLeft w:val="0"/>
      <w:marRight w:val="0"/>
      <w:marTop w:val="0"/>
      <w:marBottom w:val="0"/>
      <w:divBdr>
        <w:top w:val="none" w:sz="0" w:space="0" w:color="auto"/>
        <w:left w:val="none" w:sz="0" w:space="0" w:color="auto"/>
        <w:bottom w:val="none" w:sz="0" w:space="0" w:color="auto"/>
        <w:right w:val="none" w:sz="0" w:space="0" w:color="auto"/>
      </w:divBdr>
    </w:div>
    <w:div w:id="1556504736">
      <w:bodyDiv w:val="1"/>
      <w:marLeft w:val="0"/>
      <w:marRight w:val="0"/>
      <w:marTop w:val="0"/>
      <w:marBottom w:val="0"/>
      <w:divBdr>
        <w:top w:val="none" w:sz="0" w:space="0" w:color="auto"/>
        <w:left w:val="none" w:sz="0" w:space="0" w:color="auto"/>
        <w:bottom w:val="none" w:sz="0" w:space="0" w:color="auto"/>
        <w:right w:val="none" w:sz="0" w:space="0" w:color="auto"/>
      </w:divBdr>
    </w:div>
    <w:div w:id="1563518127">
      <w:bodyDiv w:val="1"/>
      <w:marLeft w:val="0"/>
      <w:marRight w:val="0"/>
      <w:marTop w:val="0"/>
      <w:marBottom w:val="0"/>
      <w:divBdr>
        <w:top w:val="none" w:sz="0" w:space="0" w:color="auto"/>
        <w:left w:val="none" w:sz="0" w:space="0" w:color="auto"/>
        <w:bottom w:val="none" w:sz="0" w:space="0" w:color="auto"/>
        <w:right w:val="none" w:sz="0" w:space="0" w:color="auto"/>
      </w:divBdr>
    </w:div>
    <w:div w:id="1575697454">
      <w:bodyDiv w:val="1"/>
      <w:marLeft w:val="0"/>
      <w:marRight w:val="0"/>
      <w:marTop w:val="0"/>
      <w:marBottom w:val="0"/>
      <w:divBdr>
        <w:top w:val="none" w:sz="0" w:space="0" w:color="auto"/>
        <w:left w:val="none" w:sz="0" w:space="0" w:color="auto"/>
        <w:bottom w:val="none" w:sz="0" w:space="0" w:color="auto"/>
        <w:right w:val="none" w:sz="0" w:space="0" w:color="auto"/>
      </w:divBdr>
    </w:div>
    <w:div w:id="1587228231">
      <w:bodyDiv w:val="1"/>
      <w:marLeft w:val="0"/>
      <w:marRight w:val="0"/>
      <w:marTop w:val="0"/>
      <w:marBottom w:val="0"/>
      <w:divBdr>
        <w:top w:val="none" w:sz="0" w:space="0" w:color="auto"/>
        <w:left w:val="none" w:sz="0" w:space="0" w:color="auto"/>
        <w:bottom w:val="none" w:sz="0" w:space="0" w:color="auto"/>
        <w:right w:val="none" w:sz="0" w:space="0" w:color="auto"/>
      </w:divBdr>
    </w:div>
    <w:div w:id="1601452900">
      <w:bodyDiv w:val="1"/>
      <w:marLeft w:val="0"/>
      <w:marRight w:val="0"/>
      <w:marTop w:val="0"/>
      <w:marBottom w:val="0"/>
      <w:divBdr>
        <w:top w:val="none" w:sz="0" w:space="0" w:color="auto"/>
        <w:left w:val="none" w:sz="0" w:space="0" w:color="auto"/>
        <w:bottom w:val="none" w:sz="0" w:space="0" w:color="auto"/>
        <w:right w:val="none" w:sz="0" w:space="0" w:color="auto"/>
      </w:divBdr>
    </w:div>
    <w:div w:id="1608200139">
      <w:bodyDiv w:val="1"/>
      <w:marLeft w:val="0"/>
      <w:marRight w:val="0"/>
      <w:marTop w:val="0"/>
      <w:marBottom w:val="0"/>
      <w:divBdr>
        <w:top w:val="none" w:sz="0" w:space="0" w:color="auto"/>
        <w:left w:val="none" w:sz="0" w:space="0" w:color="auto"/>
        <w:bottom w:val="none" w:sz="0" w:space="0" w:color="auto"/>
        <w:right w:val="none" w:sz="0" w:space="0" w:color="auto"/>
      </w:divBdr>
    </w:div>
    <w:div w:id="1614168881">
      <w:bodyDiv w:val="1"/>
      <w:marLeft w:val="0"/>
      <w:marRight w:val="0"/>
      <w:marTop w:val="0"/>
      <w:marBottom w:val="0"/>
      <w:divBdr>
        <w:top w:val="none" w:sz="0" w:space="0" w:color="auto"/>
        <w:left w:val="none" w:sz="0" w:space="0" w:color="auto"/>
        <w:bottom w:val="none" w:sz="0" w:space="0" w:color="auto"/>
        <w:right w:val="none" w:sz="0" w:space="0" w:color="auto"/>
      </w:divBdr>
    </w:div>
    <w:div w:id="1634558136">
      <w:bodyDiv w:val="1"/>
      <w:marLeft w:val="0"/>
      <w:marRight w:val="0"/>
      <w:marTop w:val="0"/>
      <w:marBottom w:val="0"/>
      <w:divBdr>
        <w:top w:val="none" w:sz="0" w:space="0" w:color="auto"/>
        <w:left w:val="none" w:sz="0" w:space="0" w:color="auto"/>
        <w:bottom w:val="none" w:sz="0" w:space="0" w:color="auto"/>
        <w:right w:val="none" w:sz="0" w:space="0" w:color="auto"/>
      </w:divBdr>
    </w:div>
    <w:div w:id="1656497283">
      <w:bodyDiv w:val="1"/>
      <w:marLeft w:val="0"/>
      <w:marRight w:val="0"/>
      <w:marTop w:val="0"/>
      <w:marBottom w:val="0"/>
      <w:divBdr>
        <w:top w:val="none" w:sz="0" w:space="0" w:color="auto"/>
        <w:left w:val="none" w:sz="0" w:space="0" w:color="auto"/>
        <w:bottom w:val="none" w:sz="0" w:space="0" w:color="auto"/>
        <w:right w:val="none" w:sz="0" w:space="0" w:color="auto"/>
      </w:divBdr>
    </w:div>
    <w:div w:id="1658611389">
      <w:bodyDiv w:val="1"/>
      <w:marLeft w:val="0"/>
      <w:marRight w:val="0"/>
      <w:marTop w:val="0"/>
      <w:marBottom w:val="0"/>
      <w:divBdr>
        <w:top w:val="none" w:sz="0" w:space="0" w:color="auto"/>
        <w:left w:val="none" w:sz="0" w:space="0" w:color="auto"/>
        <w:bottom w:val="none" w:sz="0" w:space="0" w:color="auto"/>
        <w:right w:val="none" w:sz="0" w:space="0" w:color="auto"/>
      </w:divBdr>
    </w:div>
    <w:div w:id="1693341576">
      <w:bodyDiv w:val="1"/>
      <w:marLeft w:val="0"/>
      <w:marRight w:val="0"/>
      <w:marTop w:val="0"/>
      <w:marBottom w:val="0"/>
      <w:divBdr>
        <w:top w:val="none" w:sz="0" w:space="0" w:color="auto"/>
        <w:left w:val="none" w:sz="0" w:space="0" w:color="auto"/>
        <w:bottom w:val="none" w:sz="0" w:space="0" w:color="auto"/>
        <w:right w:val="none" w:sz="0" w:space="0" w:color="auto"/>
      </w:divBdr>
    </w:div>
    <w:div w:id="1728606144">
      <w:bodyDiv w:val="1"/>
      <w:marLeft w:val="0"/>
      <w:marRight w:val="0"/>
      <w:marTop w:val="0"/>
      <w:marBottom w:val="0"/>
      <w:divBdr>
        <w:top w:val="none" w:sz="0" w:space="0" w:color="auto"/>
        <w:left w:val="none" w:sz="0" w:space="0" w:color="auto"/>
        <w:bottom w:val="none" w:sz="0" w:space="0" w:color="auto"/>
        <w:right w:val="none" w:sz="0" w:space="0" w:color="auto"/>
      </w:divBdr>
    </w:div>
    <w:div w:id="1728992282">
      <w:bodyDiv w:val="1"/>
      <w:marLeft w:val="0"/>
      <w:marRight w:val="0"/>
      <w:marTop w:val="0"/>
      <w:marBottom w:val="0"/>
      <w:divBdr>
        <w:top w:val="none" w:sz="0" w:space="0" w:color="auto"/>
        <w:left w:val="none" w:sz="0" w:space="0" w:color="auto"/>
        <w:bottom w:val="none" w:sz="0" w:space="0" w:color="auto"/>
        <w:right w:val="none" w:sz="0" w:space="0" w:color="auto"/>
      </w:divBdr>
    </w:div>
    <w:div w:id="1747535413">
      <w:bodyDiv w:val="1"/>
      <w:marLeft w:val="0"/>
      <w:marRight w:val="0"/>
      <w:marTop w:val="0"/>
      <w:marBottom w:val="0"/>
      <w:divBdr>
        <w:top w:val="none" w:sz="0" w:space="0" w:color="auto"/>
        <w:left w:val="none" w:sz="0" w:space="0" w:color="auto"/>
        <w:bottom w:val="none" w:sz="0" w:space="0" w:color="auto"/>
        <w:right w:val="none" w:sz="0" w:space="0" w:color="auto"/>
      </w:divBdr>
    </w:div>
    <w:div w:id="1757827946">
      <w:bodyDiv w:val="1"/>
      <w:marLeft w:val="0"/>
      <w:marRight w:val="0"/>
      <w:marTop w:val="0"/>
      <w:marBottom w:val="0"/>
      <w:divBdr>
        <w:top w:val="none" w:sz="0" w:space="0" w:color="auto"/>
        <w:left w:val="none" w:sz="0" w:space="0" w:color="auto"/>
        <w:bottom w:val="none" w:sz="0" w:space="0" w:color="auto"/>
        <w:right w:val="none" w:sz="0" w:space="0" w:color="auto"/>
      </w:divBdr>
    </w:div>
    <w:div w:id="1759862073">
      <w:bodyDiv w:val="1"/>
      <w:marLeft w:val="0"/>
      <w:marRight w:val="0"/>
      <w:marTop w:val="0"/>
      <w:marBottom w:val="0"/>
      <w:divBdr>
        <w:top w:val="none" w:sz="0" w:space="0" w:color="auto"/>
        <w:left w:val="none" w:sz="0" w:space="0" w:color="auto"/>
        <w:bottom w:val="none" w:sz="0" w:space="0" w:color="auto"/>
        <w:right w:val="none" w:sz="0" w:space="0" w:color="auto"/>
      </w:divBdr>
    </w:div>
    <w:div w:id="1760171167">
      <w:bodyDiv w:val="1"/>
      <w:marLeft w:val="0"/>
      <w:marRight w:val="0"/>
      <w:marTop w:val="0"/>
      <w:marBottom w:val="0"/>
      <w:divBdr>
        <w:top w:val="none" w:sz="0" w:space="0" w:color="auto"/>
        <w:left w:val="none" w:sz="0" w:space="0" w:color="auto"/>
        <w:bottom w:val="none" w:sz="0" w:space="0" w:color="auto"/>
        <w:right w:val="none" w:sz="0" w:space="0" w:color="auto"/>
      </w:divBdr>
    </w:div>
    <w:div w:id="1772704600">
      <w:bodyDiv w:val="1"/>
      <w:marLeft w:val="0"/>
      <w:marRight w:val="0"/>
      <w:marTop w:val="0"/>
      <w:marBottom w:val="0"/>
      <w:divBdr>
        <w:top w:val="none" w:sz="0" w:space="0" w:color="auto"/>
        <w:left w:val="none" w:sz="0" w:space="0" w:color="auto"/>
        <w:bottom w:val="none" w:sz="0" w:space="0" w:color="auto"/>
        <w:right w:val="none" w:sz="0" w:space="0" w:color="auto"/>
      </w:divBdr>
    </w:div>
    <w:div w:id="1778132280">
      <w:bodyDiv w:val="1"/>
      <w:marLeft w:val="0"/>
      <w:marRight w:val="0"/>
      <w:marTop w:val="0"/>
      <w:marBottom w:val="0"/>
      <w:divBdr>
        <w:top w:val="none" w:sz="0" w:space="0" w:color="auto"/>
        <w:left w:val="none" w:sz="0" w:space="0" w:color="auto"/>
        <w:bottom w:val="none" w:sz="0" w:space="0" w:color="auto"/>
        <w:right w:val="none" w:sz="0" w:space="0" w:color="auto"/>
      </w:divBdr>
    </w:div>
    <w:div w:id="1785493160">
      <w:bodyDiv w:val="1"/>
      <w:marLeft w:val="0"/>
      <w:marRight w:val="0"/>
      <w:marTop w:val="0"/>
      <w:marBottom w:val="0"/>
      <w:divBdr>
        <w:top w:val="none" w:sz="0" w:space="0" w:color="auto"/>
        <w:left w:val="none" w:sz="0" w:space="0" w:color="auto"/>
        <w:bottom w:val="none" w:sz="0" w:space="0" w:color="auto"/>
        <w:right w:val="none" w:sz="0" w:space="0" w:color="auto"/>
      </w:divBdr>
    </w:div>
    <w:div w:id="1790590098">
      <w:bodyDiv w:val="1"/>
      <w:marLeft w:val="0"/>
      <w:marRight w:val="0"/>
      <w:marTop w:val="0"/>
      <w:marBottom w:val="0"/>
      <w:divBdr>
        <w:top w:val="none" w:sz="0" w:space="0" w:color="auto"/>
        <w:left w:val="none" w:sz="0" w:space="0" w:color="auto"/>
        <w:bottom w:val="none" w:sz="0" w:space="0" w:color="auto"/>
        <w:right w:val="none" w:sz="0" w:space="0" w:color="auto"/>
      </w:divBdr>
    </w:div>
    <w:div w:id="1797796114">
      <w:bodyDiv w:val="1"/>
      <w:marLeft w:val="0"/>
      <w:marRight w:val="0"/>
      <w:marTop w:val="0"/>
      <w:marBottom w:val="0"/>
      <w:divBdr>
        <w:top w:val="none" w:sz="0" w:space="0" w:color="auto"/>
        <w:left w:val="none" w:sz="0" w:space="0" w:color="auto"/>
        <w:bottom w:val="none" w:sz="0" w:space="0" w:color="auto"/>
        <w:right w:val="none" w:sz="0" w:space="0" w:color="auto"/>
      </w:divBdr>
    </w:div>
    <w:div w:id="1815559561">
      <w:bodyDiv w:val="1"/>
      <w:marLeft w:val="0"/>
      <w:marRight w:val="0"/>
      <w:marTop w:val="0"/>
      <w:marBottom w:val="0"/>
      <w:divBdr>
        <w:top w:val="none" w:sz="0" w:space="0" w:color="auto"/>
        <w:left w:val="none" w:sz="0" w:space="0" w:color="auto"/>
        <w:bottom w:val="none" w:sz="0" w:space="0" w:color="auto"/>
        <w:right w:val="none" w:sz="0" w:space="0" w:color="auto"/>
      </w:divBdr>
    </w:div>
    <w:div w:id="1817182463">
      <w:bodyDiv w:val="1"/>
      <w:marLeft w:val="0"/>
      <w:marRight w:val="0"/>
      <w:marTop w:val="0"/>
      <w:marBottom w:val="0"/>
      <w:divBdr>
        <w:top w:val="none" w:sz="0" w:space="0" w:color="auto"/>
        <w:left w:val="none" w:sz="0" w:space="0" w:color="auto"/>
        <w:bottom w:val="none" w:sz="0" w:space="0" w:color="auto"/>
        <w:right w:val="none" w:sz="0" w:space="0" w:color="auto"/>
      </w:divBdr>
    </w:div>
    <w:div w:id="1829637596">
      <w:bodyDiv w:val="1"/>
      <w:marLeft w:val="0"/>
      <w:marRight w:val="0"/>
      <w:marTop w:val="0"/>
      <w:marBottom w:val="0"/>
      <w:divBdr>
        <w:top w:val="none" w:sz="0" w:space="0" w:color="auto"/>
        <w:left w:val="none" w:sz="0" w:space="0" w:color="auto"/>
        <w:bottom w:val="none" w:sz="0" w:space="0" w:color="auto"/>
        <w:right w:val="none" w:sz="0" w:space="0" w:color="auto"/>
      </w:divBdr>
    </w:div>
    <w:div w:id="1848398444">
      <w:bodyDiv w:val="1"/>
      <w:marLeft w:val="0"/>
      <w:marRight w:val="0"/>
      <w:marTop w:val="0"/>
      <w:marBottom w:val="0"/>
      <w:divBdr>
        <w:top w:val="none" w:sz="0" w:space="0" w:color="auto"/>
        <w:left w:val="none" w:sz="0" w:space="0" w:color="auto"/>
        <w:bottom w:val="none" w:sz="0" w:space="0" w:color="auto"/>
        <w:right w:val="none" w:sz="0" w:space="0" w:color="auto"/>
      </w:divBdr>
    </w:div>
    <w:div w:id="1848980186">
      <w:bodyDiv w:val="1"/>
      <w:marLeft w:val="0"/>
      <w:marRight w:val="0"/>
      <w:marTop w:val="0"/>
      <w:marBottom w:val="0"/>
      <w:divBdr>
        <w:top w:val="none" w:sz="0" w:space="0" w:color="auto"/>
        <w:left w:val="none" w:sz="0" w:space="0" w:color="auto"/>
        <w:bottom w:val="none" w:sz="0" w:space="0" w:color="auto"/>
        <w:right w:val="none" w:sz="0" w:space="0" w:color="auto"/>
      </w:divBdr>
    </w:div>
    <w:div w:id="1859393483">
      <w:bodyDiv w:val="1"/>
      <w:marLeft w:val="0"/>
      <w:marRight w:val="0"/>
      <w:marTop w:val="0"/>
      <w:marBottom w:val="0"/>
      <w:divBdr>
        <w:top w:val="none" w:sz="0" w:space="0" w:color="auto"/>
        <w:left w:val="none" w:sz="0" w:space="0" w:color="auto"/>
        <w:bottom w:val="none" w:sz="0" w:space="0" w:color="auto"/>
        <w:right w:val="none" w:sz="0" w:space="0" w:color="auto"/>
      </w:divBdr>
    </w:div>
    <w:div w:id="1883592089">
      <w:bodyDiv w:val="1"/>
      <w:marLeft w:val="0"/>
      <w:marRight w:val="0"/>
      <w:marTop w:val="0"/>
      <w:marBottom w:val="0"/>
      <w:divBdr>
        <w:top w:val="none" w:sz="0" w:space="0" w:color="auto"/>
        <w:left w:val="none" w:sz="0" w:space="0" w:color="auto"/>
        <w:bottom w:val="none" w:sz="0" w:space="0" w:color="auto"/>
        <w:right w:val="none" w:sz="0" w:space="0" w:color="auto"/>
      </w:divBdr>
    </w:div>
    <w:div w:id="1891722978">
      <w:bodyDiv w:val="1"/>
      <w:marLeft w:val="0"/>
      <w:marRight w:val="0"/>
      <w:marTop w:val="0"/>
      <w:marBottom w:val="0"/>
      <w:divBdr>
        <w:top w:val="none" w:sz="0" w:space="0" w:color="auto"/>
        <w:left w:val="none" w:sz="0" w:space="0" w:color="auto"/>
        <w:bottom w:val="none" w:sz="0" w:space="0" w:color="auto"/>
        <w:right w:val="none" w:sz="0" w:space="0" w:color="auto"/>
      </w:divBdr>
    </w:div>
    <w:div w:id="1919828450">
      <w:bodyDiv w:val="1"/>
      <w:marLeft w:val="0"/>
      <w:marRight w:val="0"/>
      <w:marTop w:val="0"/>
      <w:marBottom w:val="0"/>
      <w:divBdr>
        <w:top w:val="none" w:sz="0" w:space="0" w:color="auto"/>
        <w:left w:val="none" w:sz="0" w:space="0" w:color="auto"/>
        <w:bottom w:val="none" w:sz="0" w:space="0" w:color="auto"/>
        <w:right w:val="none" w:sz="0" w:space="0" w:color="auto"/>
      </w:divBdr>
    </w:div>
    <w:div w:id="1929465516">
      <w:bodyDiv w:val="1"/>
      <w:marLeft w:val="0"/>
      <w:marRight w:val="0"/>
      <w:marTop w:val="0"/>
      <w:marBottom w:val="0"/>
      <w:divBdr>
        <w:top w:val="none" w:sz="0" w:space="0" w:color="auto"/>
        <w:left w:val="none" w:sz="0" w:space="0" w:color="auto"/>
        <w:bottom w:val="none" w:sz="0" w:space="0" w:color="auto"/>
        <w:right w:val="none" w:sz="0" w:space="0" w:color="auto"/>
      </w:divBdr>
    </w:div>
    <w:div w:id="1940021353">
      <w:bodyDiv w:val="1"/>
      <w:marLeft w:val="0"/>
      <w:marRight w:val="0"/>
      <w:marTop w:val="0"/>
      <w:marBottom w:val="0"/>
      <w:divBdr>
        <w:top w:val="none" w:sz="0" w:space="0" w:color="auto"/>
        <w:left w:val="none" w:sz="0" w:space="0" w:color="auto"/>
        <w:bottom w:val="none" w:sz="0" w:space="0" w:color="auto"/>
        <w:right w:val="none" w:sz="0" w:space="0" w:color="auto"/>
      </w:divBdr>
    </w:div>
    <w:div w:id="1955091129">
      <w:bodyDiv w:val="1"/>
      <w:marLeft w:val="0"/>
      <w:marRight w:val="0"/>
      <w:marTop w:val="0"/>
      <w:marBottom w:val="0"/>
      <w:divBdr>
        <w:top w:val="none" w:sz="0" w:space="0" w:color="auto"/>
        <w:left w:val="none" w:sz="0" w:space="0" w:color="auto"/>
        <w:bottom w:val="none" w:sz="0" w:space="0" w:color="auto"/>
        <w:right w:val="none" w:sz="0" w:space="0" w:color="auto"/>
      </w:divBdr>
    </w:div>
    <w:div w:id="1958633436">
      <w:bodyDiv w:val="1"/>
      <w:marLeft w:val="0"/>
      <w:marRight w:val="0"/>
      <w:marTop w:val="0"/>
      <w:marBottom w:val="0"/>
      <w:divBdr>
        <w:top w:val="none" w:sz="0" w:space="0" w:color="auto"/>
        <w:left w:val="none" w:sz="0" w:space="0" w:color="auto"/>
        <w:bottom w:val="none" w:sz="0" w:space="0" w:color="auto"/>
        <w:right w:val="none" w:sz="0" w:space="0" w:color="auto"/>
      </w:divBdr>
    </w:div>
    <w:div w:id="1958831577">
      <w:bodyDiv w:val="1"/>
      <w:marLeft w:val="0"/>
      <w:marRight w:val="0"/>
      <w:marTop w:val="0"/>
      <w:marBottom w:val="0"/>
      <w:divBdr>
        <w:top w:val="none" w:sz="0" w:space="0" w:color="auto"/>
        <w:left w:val="none" w:sz="0" w:space="0" w:color="auto"/>
        <w:bottom w:val="none" w:sz="0" w:space="0" w:color="auto"/>
        <w:right w:val="none" w:sz="0" w:space="0" w:color="auto"/>
      </w:divBdr>
    </w:div>
    <w:div w:id="1959070816">
      <w:bodyDiv w:val="1"/>
      <w:marLeft w:val="0"/>
      <w:marRight w:val="0"/>
      <w:marTop w:val="0"/>
      <w:marBottom w:val="0"/>
      <w:divBdr>
        <w:top w:val="none" w:sz="0" w:space="0" w:color="auto"/>
        <w:left w:val="none" w:sz="0" w:space="0" w:color="auto"/>
        <w:bottom w:val="none" w:sz="0" w:space="0" w:color="auto"/>
        <w:right w:val="none" w:sz="0" w:space="0" w:color="auto"/>
      </w:divBdr>
    </w:div>
    <w:div w:id="1966427447">
      <w:marLeft w:val="0"/>
      <w:marRight w:val="0"/>
      <w:marTop w:val="0"/>
      <w:marBottom w:val="0"/>
      <w:divBdr>
        <w:top w:val="none" w:sz="0" w:space="0" w:color="auto"/>
        <w:left w:val="none" w:sz="0" w:space="0" w:color="auto"/>
        <w:bottom w:val="none" w:sz="0" w:space="0" w:color="auto"/>
        <w:right w:val="none" w:sz="0" w:space="0" w:color="auto"/>
      </w:divBdr>
    </w:div>
    <w:div w:id="1977493246">
      <w:bodyDiv w:val="1"/>
      <w:marLeft w:val="0"/>
      <w:marRight w:val="0"/>
      <w:marTop w:val="0"/>
      <w:marBottom w:val="0"/>
      <w:divBdr>
        <w:top w:val="none" w:sz="0" w:space="0" w:color="auto"/>
        <w:left w:val="none" w:sz="0" w:space="0" w:color="auto"/>
        <w:bottom w:val="none" w:sz="0" w:space="0" w:color="auto"/>
        <w:right w:val="none" w:sz="0" w:space="0" w:color="auto"/>
      </w:divBdr>
    </w:div>
    <w:div w:id="1982810336">
      <w:bodyDiv w:val="1"/>
      <w:marLeft w:val="0"/>
      <w:marRight w:val="0"/>
      <w:marTop w:val="0"/>
      <w:marBottom w:val="0"/>
      <w:divBdr>
        <w:top w:val="none" w:sz="0" w:space="0" w:color="auto"/>
        <w:left w:val="none" w:sz="0" w:space="0" w:color="auto"/>
        <w:bottom w:val="none" w:sz="0" w:space="0" w:color="auto"/>
        <w:right w:val="none" w:sz="0" w:space="0" w:color="auto"/>
      </w:divBdr>
    </w:div>
    <w:div w:id="1990088098">
      <w:bodyDiv w:val="1"/>
      <w:marLeft w:val="0"/>
      <w:marRight w:val="0"/>
      <w:marTop w:val="0"/>
      <w:marBottom w:val="0"/>
      <w:divBdr>
        <w:top w:val="none" w:sz="0" w:space="0" w:color="auto"/>
        <w:left w:val="none" w:sz="0" w:space="0" w:color="auto"/>
        <w:bottom w:val="none" w:sz="0" w:space="0" w:color="auto"/>
        <w:right w:val="none" w:sz="0" w:space="0" w:color="auto"/>
      </w:divBdr>
    </w:div>
    <w:div w:id="1990597342">
      <w:bodyDiv w:val="1"/>
      <w:marLeft w:val="0"/>
      <w:marRight w:val="0"/>
      <w:marTop w:val="0"/>
      <w:marBottom w:val="0"/>
      <w:divBdr>
        <w:top w:val="none" w:sz="0" w:space="0" w:color="auto"/>
        <w:left w:val="none" w:sz="0" w:space="0" w:color="auto"/>
        <w:bottom w:val="none" w:sz="0" w:space="0" w:color="auto"/>
        <w:right w:val="none" w:sz="0" w:space="0" w:color="auto"/>
      </w:divBdr>
    </w:div>
    <w:div w:id="2000814265">
      <w:bodyDiv w:val="1"/>
      <w:marLeft w:val="0"/>
      <w:marRight w:val="0"/>
      <w:marTop w:val="0"/>
      <w:marBottom w:val="0"/>
      <w:divBdr>
        <w:top w:val="none" w:sz="0" w:space="0" w:color="auto"/>
        <w:left w:val="none" w:sz="0" w:space="0" w:color="auto"/>
        <w:bottom w:val="none" w:sz="0" w:space="0" w:color="auto"/>
        <w:right w:val="none" w:sz="0" w:space="0" w:color="auto"/>
      </w:divBdr>
    </w:div>
    <w:div w:id="2043049430">
      <w:bodyDiv w:val="1"/>
      <w:marLeft w:val="0"/>
      <w:marRight w:val="0"/>
      <w:marTop w:val="0"/>
      <w:marBottom w:val="0"/>
      <w:divBdr>
        <w:top w:val="none" w:sz="0" w:space="0" w:color="auto"/>
        <w:left w:val="none" w:sz="0" w:space="0" w:color="auto"/>
        <w:bottom w:val="none" w:sz="0" w:space="0" w:color="auto"/>
        <w:right w:val="none" w:sz="0" w:space="0" w:color="auto"/>
      </w:divBdr>
    </w:div>
    <w:div w:id="2053965332">
      <w:bodyDiv w:val="1"/>
      <w:marLeft w:val="0"/>
      <w:marRight w:val="0"/>
      <w:marTop w:val="0"/>
      <w:marBottom w:val="0"/>
      <w:divBdr>
        <w:top w:val="none" w:sz="0" w:space="0" w:color="auto"/>
        <w:left w:val="none" w:sz="0" w:space="0" w:color="auto"/>
        <w:bottom w:val="none" w:sz="0" w:space="0" w:color="auto"/>
        <w:right w:val="none" w:sz="0" w:space="0" w:color="auto"/>
      </w:divBdr>
    </w:div>
    <w:div w:id="2059820510">
      <w:marLeft w:val="0"/>
      <w:marRight w:val="0"/>
      <w:marTop w:val="0"/>
      <w:marBottom w:val="0"/>
      <w:divBdr>
        <w:top w:val="none" w:sz="0" w:space="0" w:color="auto"/>
        <w:left w:val="none" w:sz="0" w:space="0" w:color="auto"/>
        <w:bottom w:val="none" w:sz="0" w:space="0" w:color="auto"/>
        <w:right w:val="none" w:sz="0" w:space="0" w:color="auto"/>
      </w:divBdr>
    </w:div>
    <w:div w:id="2066096753">
      <w:bodyDiv w:val="1"/>
      <w:marLeft w:val="0"/>
      <w:marRight w:val="0"/>
      <w:marTop w:val="0"/>
      <w:marBottom w:val="0"/>
      <w:divBdr>
        <w:top w:val="none" w:sz="0" w:space="0" w:color="auto"/>
        <w:left w:val="none" w:sz="0" w:space="0" w:color="auto"/>
        <w:bottom w:val="none" w:sz="0" w:space="0" w:color="auto"/>
        <w:right w:val="none" w:sz="0" w:space="0" w:color="auto"/>
      </w:divBdr>
    </w:div>
    <w:div w:id="2066903850">
      <w:bodyDiv w:val="1"/>
      <w:marLeft w:val="0"/>
      <w:marRight w:val="0"/>
      <w:marTop w:val="0"/>
      <w:marBottom w:val="0"/>
      <w:divBdr>
        <w:top w:val="none" w:sz="0" w:space="0" w:color="auto"/>
        <w:left w:val="none" w:sz="0" w:space="0" w:color="auto"/>
        <w:bottom w:val="none" w:sz="0" w:space="0" w:color="auto"/>
        <w:right w:val="none" w:sz="0" w:space="0" w:color="auto"/>
      </w:divBdr>
    </w:div>
    <w:div w:id="2070570745">
      <w:bodyDiv w:val="1"/>
      <w:marLeft w:val="0"/>
      <w:marRight w:val="0"/>
      <w:marTop w:val="0"/>
      <w:marBottom w:val="0"/>
      <w:divBdr>
        <w:top w:val="none" w:sz="0" w:space="0" w:color="auto"/>
        <w:left w:val="none" w:sz="0" w:space="0" w:color="auto"/>
        <w:bottom w:val="none" w:sz="0" w:space="0" w:color="auto"/>
        <w:right w:val="none" w:sz="0" w:space="0" w:color="auto"/>
      </w:divBdr>
    </w:div>
    <w:div w:id="209944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iwheel.com/work/citation?ids=16605596,17402262,17402252&amp;pre=&amp;pre=&amp;pre=&amp;suf=&amp;suf=&amp;suf=&amp;sa=0,0,0&amp;dbf=0&amp;dbf=0&amp;dbf=0" TargetMode="External"/><Relationship Id="rId21" Type="http://schemas.openxmlformats.org/officeDocument/2006/relationships/image" Target="media/image1.jpg"/><Relationship Id="rId42" Type="http://schemas.openxmlformats.org/officeDocument/2006/relationships/hyperlink" Target="https://sciwheel.com/work/citation?ids=2909783,12136194,8509577,16606459&amp;pre=&amp;pre=&amp;pre=&amp;pre=&amp;suf=&amp;suf=&amp;suf=&amp;suf=&amp;sa=0,0,0,0&amp;dbf=0&amp;dbf=0&amp;dbf=0&amp;dbf=0" TargetMode="External"/><Relationship Id="rId47" Type="http://schemas.openxmlformats.org/officeDocument/2006/relationships/hyperlink" Target="https://sciwheel.com/work/citation?ids=5238703&amp;pre=&amp;suf=&amp;sa=0&amp;dbf=0" TargetMode="External"/><Relationship Id="rId63" Type="http://schemas.openxmlformats.org/officeDocument/2006/relationships/hyperlink" Target="https://sciwheel.com/work/bibliography/8493016" TargetMode="External"/><Relationship Id="rId68" Type="http://schemas.openxmlformats.org/officeDocument/2006/relationships/hyperlink" Target="https://sciwheel.com/work/bibliography/5800833" TargetMode="External"/><Relationship Id="rId84" Type="http://schemas.openxmlformats.org/officeDocument/2006/relationships/hyperlink" Target="https://sciwheel.com/work/bibliography/1175040" TargetMode="External"/><Relationship Id="rId89" Type="http://schemas.openxmlformats.org/officeDocument/2006/relationships/hyperlink" Target="https://sciwheel.com/work/bibliography/16605624" TargetMode="External"/><Relationship Id="rId16" Type="http://schemas.openxmlformats.org/officeDocument/2006/relationships/hyperlink" Target="https://sciwheel.com/work/citation?ids=16605925&amp;pre=&amp;suf=&amp;sa=0&amp;dbf=0" TargetMode="External"/><Relationship Id="rId11" Type="http://schemas.openxmlformats.org/officeDocument/2006/relationships/hyperlink" Target="https://sciwheel.com/work/citation?ids=17379713&amp;pre=&amp;suf=&amp;sa=0&amp;dbf=0" TargetMode="External"/><Relationship Id="rId32" Type="http://schemas.openxmlformats.org/officeDocument/2006/relationships/hyperlink" Target="https://sciwheel.com/work/citation?ids=18154596,594495&amp;pre=&amp;pre=&amp;suf=&amp;suf=&amp;sa=0,0&amp;dbf=0&amp;dbf=0" TargetMode="External"/><Relationship Id="rId37" Type="http://schemas.openxmlformats.org/officeDocument/2006/relationships/hyperlink" Target="https://sciwheel.com/work/citation?ids=13145447&amp;pre=&amp;suf=&amp;sa=0&amp;dbf=0" TargetMode="External"/><Relationship Id="rId53" Type="http://schemas.openxmlformats.org/officeDocument/2006/relationships/hyperlink" Target="https://sciwheel.com/work/bibliography/508039" TargetMode="External"/><Relationship Id="rId58" Type="http://schemas.openxmlformats.org/officeDocument/2006/relationships/hyperlink" Target="https://sciwheel.com/work/bibliography/16606455" TargetMode="External"/><Relationship Id="rId74" Type="http://schemas.openxmlformats.org/officeDocument/2006/relationships/hyperlink" Target="https://sciwheel.com/work/bibliography/16610910" TargetMode="External"/><Relationship Id="rId79" Type="http://schemas.openxmlformats.org/officeDocument/2006/relationships/hyperlink" Target="https://sciwheel.com/work/bibliography/16606459" TargetMode="External"/><Relationship Id="rId5" Type="http://schemas.openxmlformats.org/officeDocument/2006/relationships/webSettings" Target="webSettings.xml"/><Relationship Id="rId90" Type="http://schemas.openxmlformats.org/officeDocument/2006/relationships/hyperlink" Target="https://sciwheel.com/work/bibliography/6894833" TargetMode="External"/><Relationship Id="rId95" Type="http://schemas.openxmlformats.org/officeDocument/2006/relationships/hyperlink" Target="https://sciwheel.com/work/bibliography/17778579" TargetMode="External"/><Relationship Id="rId22" Type="http://schemas.openxmlformats.org/officeDocument/2006/relationships/hyperlink" Target="https://sciwheel.com/work/citation?ids=3071351&amp;pre=&amp;suf=&amp;sa=0&amp;dbf=0" TargetMode="External"/><Relationship Id="rId27" Type="http://schemas.openxmlformats.org/officeDocument/2006/relationships/hyperlink" Target="https://sciwheel.com/work/citation?ids=16605927&amp;pre=&amp;suf=&amp;sa=0&amp;dbf=0" TargetMode="External"/><Relationship Id="rId43" Type="http://schemas.openxmlformats.org/officeDocument/2006/relationships/hyperlink" Target="https://sciwheel.com/work/citation?ids=8052745&amp;pre=&amp;suf=&amp;sa=0&amp;dbf=0" TargetMode="External"/><Relationship Id="rId48" Type="http://schemas.openxmlformats.org/officeDocument/2006/relationships/hyperlink" Target="https://sciwheel.com/work/citation?ids=16606442&amp;pre=&amp;suf=&amp;sa=0&amp;dbf=0" TargetMode="External"/><Relationship Id="rId64" Type="http://schemas.openxmlformats.org/officeDocument/2006/relationships/hyperlink" Target="https://sciwheel.com/work/bibliography/17016014" TargetMode="External"/><Relationship Id="rId69" Type="http://schemas.openxmlformats.org/officeDocument/2006/relationships/hyperlink" Target="https://sciwheel.com/work/bibliography/6547876" TargetMode="External"/><Relationship Id="rId80" Type="http://schemas.openxmlformats.org/officeDocument/2006/relationships/hyperlink" Target="https://sciwheel.com/work/bibliography/11398418" TargetMode="External"/><Relationship Id="rId85" Type="http://schemas.openxmlformats.org/officeDocument/2006/relationships/hyperlink" Target="https://sciwheel.com/work/bibliography/16966498" TargetMode="External"/><Relationship Id="rId12" Type="http://schemas.openxmlformats.org/officeDocument/2006/relationships/hyperlink" Target="https://sciwheel.com/work/citation?ids=16605923,16605570&amp;pre=&amp;pre=&amp;suf=&amp;suf=&amp;sa=0,0&amp;dbf=0&amp;dbf=0" TargetMode="External"/><Relationship Id="rId17" Type="http://schemas.openxmlformats.org/officeDocument/2006/relationships/hyperlink" Target="https://sciwheel.com/work/citation?ids=17402262,15757907,16966498&amp;pre=&amp;pre=&amp;pre=&amp;suf=&amp;suf=&amp;suf=&amp;sa=0,0,0&amp;dbf=0&amp;dbf=0&amp;dbf=0" TargetMode="External"/><Relationship Id="rId25" Type="http://schemas.openxmlformats.org/officeDocument/2006/relationships/hyperlink" Target="https://sciwheel.com/work/citation?ids=5238703&amp;pre=&amp;suf=&amp;sa=0&amp;dbf=0" TargetMode="External"/><Relationship Id="rId33" Type="http://schemas.openxmlformats.org/officeDocument/2006/relationships/hyperlink" Target="https://sciwheel.com/work/citation?ids=6547876&amp;pre=&amp;suf=&amp;sa=0&amp;dbf=0" TargetMode="External"/><Relationship Id="rId38" Type="http://schemas.openxmlformats.org/officeDocument/2006/relationships/image" Target="media/image6.jpg"/><Relationship Id="rId46" Type="http://schemas.openxmlformats.org/officeDocument/2006/relationships/hyperlink" Target="https://sciwheel.com/work/citation?ids=16606484&amp;pre=&amp;suf=&amp;sa=0&amp;dbf=0" TargetMode="External"/><Relationship Id="rId59" Type="http://schemas.openxmlformats.org/officeDocument/2006/relationships/hyperlink" Target="https://sciwheel.com/work/bibliography/16605923" TargetMode="External"/><Relationship Id="rId67" Type="http://schemas.openxmlformats.org/officeDocument/2006/relationships/hyperlink" Target="https://sciwheel.com/work/bibliography/17779599" TargetMode="External"/><Relationship Id="rId20" Type="http://schemas.openxmlformats.org/officeDocument/2006/relationships/hyperlink" Target="https://sciwheel.com/work/citation?ids=16605624,17779599&amp;pre=&amp;pre=&amp;suf=&amp;suf=&amp;sa=0,0&amp;dbf=0&amp;dbf=0" TargetMode="External"/><Relationship Id="rId41" Type="http://schemas.openxmlformats.org/officeDocument/2006/relationships/hyperlink" Target="https://sciwheel.com/work/citation?ids=3806748&amp;pre=&amp;suf=&amp;sa=0&amp;dbf=0" TargetMode="External"/><Relationship Id="rId54" Type="http://schemas.openxmlformats.org/officeDocument/2006/relationships/hyperlink" Target="https://sciwheel.com/work/bibliography/18154596" TargetMode="External"/><Relationship Id="rId62" Type="http://schemas.openxmlformats.org/officeDocument/2006/relationships/hyperlink" Target="https://sciwheel.com/work/bibliography/3071351" TargetMode="External"/><Relationship Id="rId70" Type="http://schemas.openxmlformats.org/officeDocument/2006/relationships/hyperlink" Target="https://sciwheel.com/work/bibliography/8486088" TargetMode="External"/><Relationship Id="rId75" Type="http://schemas.openxmlformats.org/officeDocument/2006/relationships/hyperlink" Target="https://sciwheel.com/work/bibliography/16606484" TargetMode="External"/><Relationship Id="rId83" Type="http://schemas.openxmlformats.org/officeDocument/2006/relationships/hyperlink" Target="https://sciwheel.com/work/bibliography/17204320" TargetMode="External"/><Relationship Id="rId88" Type="http://schemas.openxmlformats.org/officeDocument/2006/relationships/hyperlink" Target="https://sciwheel.com/work/bibliography/17402262" TargetMode="External"/><Relationship Id="rId91" Type="http://schemas.openxmlformats.org/officeDocument/2006/relationships/hyperlink" Target="https://sciwheel.com/work/bibliography/15757907" TargetMode="External"/><Relationship Id="rId96" Type="http://schemas.openxmlformats.org/officeDocument/2006/relationships/hyperlink" Target="https://sciwheel.com/work/bibliography/27909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ciwheel.com/work/citation?ids=11669716&amp;pre=&amp;suf=&amp;sa=0&amp;dbf=0" TargetMode="External"/><Relationship Id="rId23" Type="http://schemas.openxmlformats.org/officeDocument/2006/relationships/hyperlink" Target="https://sciwheel.com/work/citation?ids=11669716&amp;pre=&amp;suf=&amp;sa=0&amp;dbf=0" TargetMode="External"/><Relationship Id="rId28" Type="http://schemas.openxmlformats.org/officeDocument/2006/relationships/image" Target="media/image2.jpg"/><Relationship Id="rId36" Type="http://schemas.openxmlformats.org/officeDocument/2006/relationships/image" Target="media/image5.png"/><Relationship Id="rId49" Type="http://schemas.openxmlformats.org/officeDocument/2006/relationships/hyperlink" Target="https://sciwheel.com/work/citation?ids=2790916&amp;pre=&amp;suf=&amp;sa=0&amp;dbf=0" TargetMode="External"/><Relationship Id="rId57" Type="http://schemas.openxmlformats.org/officeDocument/2006/relationships/hyperlink" Target="https://sciwheel.com/work/bibliography/12136194" TargetMode="External"/><Relationship Id="rId10" Type="http://schemas.openxmlformats.org/officeDocument/2006/relationships/hyperlink" Target="https://sciwheel.com/work/citation?ids=17402262&amp;pre=&amp;suf=&amp;sa=0&amp;dbf=0" TargetMode="External"/><Relationship Id="rId31" Type="http://schemas.openxmlformats.org/officeDocument/2006/relationships/hyperlink" Target="https://sciwheel.com/work/citation?ids=13145447&amp;pre=&amp;suf=&amp;sa=0&amp;dbf=0" TargetMode="External"/><Relationship Id="rId44" Type="http://schemas.openxmlformats.org/officeDocument/2006/relationships/hyperlink" Target="https://sciwheel.com/work/citation?ids=1175040&amp;pre=&amp;suf=&amp;sa=0&amp;dbf=0" TargetMode="External"/><Relationship Id="rId52" Type="http://schemas.openxmlformats.org/officeDocument/2006/relationships/hyperlink" Target="https://sciwheel.com/work/bibliography/16605925" TargetMode="External"/><Relationship Id="rId60" Type="http://schemas.openxmlformats.org/officeDocument/2006/relationships/hyperlink" Target="https://sciwheel.com/work/bibliography/16605648" TargetMode="External"/><Relationship Id="rId65" Type="http://schemas.openxmlformats.org/officeDocument/2006/relationships/hyperlink" Target="https://sciwheel.com/work/bibliography/16605570" TargetMode="External"/><Relationship Id="rId73" Type="http://schemas.openxmlformats.org/officeDocument/2006/relationships/hyperlink" Target="https://sciwheel.com/work/bibliography/16605927" TargetMode="External"/><Relationship Id="rId78" Type="http://schemas.openxmlformats.org/officeDocument/2006/relationships/hyperlink" Target="https://sciwheel.com/work/bibliography/16606442" TargetMode="External"/><Relationship Id="rId81" Type="http://schemas.openxmlformats.org/officeDocument/2006/relationships/hyperlink" Target="https://sciwheel.com/work/bibliography/5238703" TargetMode="External"/><Relationship Id="rId86" Type="http://schemas.openxmlformats.org/officeDocument/2006/relationships/hyperlink" Target="https://sciwheel.com/work/bibliography/13145447" TargetMode="External"/><Relationship Id="rId94" Type="http://schemas.openxmlformats.org/officeDocument/2006/relationships/hyperlink" Target="https://sciwheel.com/work/bibliography/16605596" TargetMode="External"/><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ciwheel.com/work/citation?ids=6894833&amp;pre=&amp;suf=&amp;sa=0&amp;dbf=0" TargetMode="External"/><Relationship Id="rId13" Type="http://schemas.openxmlformats.org/officeDocument/2006/relationships/hyperlink" Target="https://sciwheel.com/work/citation?ids=16605935,8493016,8486400&amp;pre=&amp;pre=&amp;pre=&amp;suf=&amp;suf=&amp;suf=&amp;sa=0,0,0&amp;dbf=0&amp;dbf=0&amp;dbf=0" TargetMode="External"/><Relationship Id="rId18" Type="http://schemas.openxmlformats.org/officeDocument/2006/relationships/hyperlink" Target="https://sciwheel.com/work/citation?ids=3071351,5800833,16605648,508039&amp;pre=&amp;pre=&amp;pre=&amp;pre=&amp;suf=&amp;suf=&amp;suf=&amp;suf=&amp;sa=0,0,0,0&amp;dbf=0&amp;dbf=0&amp;dbf=0&amp;dbf=0" TargetMode="External"/><Relationship Id="rId39" Type="http://schemas.openxmlformats.org/officeDocument/2006/relationships/hyperlink" Target="https://sciwheel.com/work/citation?ids=16610910&amp;pre=&amp;suf=&amp;sa=0&amp;dbf=0" TargetMode="External"/><Relationship Id="rId34" Type="http://schemas.openxmlformats.org/officeDocument/2006/relationships/image" Target="media/image3.png"/><Relationship Id="rId50" Type="http://schemas.openxmlformats.org/officeDocument/2006/relationships/hyperlink" Target="https://sciwheel.com/work/bibliography/17379713" TargetMode="External"/><Relationship Id="rId55" Type="http://schemas.openxmlformats.org/officeDocument/2006/relationships/hyperlink" Target="https://sciwheel.com/work/bibliography/594495" TargetMode="External"/><Relationship Id="rId76" Type="http://schemas.openxmlformats.org/officeDocument/2006/relationships/hyperlink" Target="https://sciwheel.com/work/bibliography/16605604"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sciwheel.com/work/bibliography/3806748" TargetMode="External"/><Relationship Id="rId92" Type="http://schemas.openxmlformats.org/officeDocument/2006/relationships/hyperlink" Target="https://sciwheel.com/work/bibliography/16605935" TargetMode="External"/><Relationship Id="rId2" Type="http://schemas.openxmlformats.org/officeDocument/2006/relationships/numbering" Target="numbering.xml"/><Relationship Id="rId29" Type="http://schemas.openxmlformats.org/officeDocument/2006/relationships/hyperlink" Target="https://sciwheel.com/work/citation?ids=11398418,17204320&amp;pre=&amp;pre=&amp;suf=&amp;suf=&amp;sa=0,0&amp;dbf=0&amp;dbf=0" TargetMode="External"/><Relationship Id="rId24" Type="http://schemas.openxmlformats.org/officeDocument/2006/relationships/hyperlink" Target="https://sciwheel.com/work/citation?ids=8486088&amp;pre=&amp;suf=&amp;sa=0&amp;dbf=0" TargetMode="External"/><Relationship Id="rId40" Type="http://schemas.openxmlformats.org/officeDocument/2006/relationships/hyperlink" Target="https://sciwheel.com/work/citation?ids=3193922&amp;pre=&amp;suf=&amp;sa=0&amp;dbf=0" TargetMode="External"/><Relationship Id="rId45" Type="http://schemas.openxmlformats.org/officeDocument/2006/relationships/hyperlink" Target="https://sciwheel.com/work/citation?ids=8052745&amp;pre=&amp;suf=&amp;sa=0&amp;dbf=0" TargetMode="External"/><Relationship Id="rId66" Type="http://schemas.openxmlformats.org/officeDocument/2006/relationships/hyperlink" Target="https://sciwheel.com/work/bibliography/3193922" TargetMode="External"/><Relationship Id="rId87" Type="http://schemas.openxmlformats.org/officeDocument/2006/relationships/hyperlink" Target="https://sciwheel.com/work/bibliography/8486400" TargetMode="External"/><Relationship Id="rId61" Type="http://schemas.openxmlformats.org/officeDocument/2006/relationships/hyperlink" Target="https://sciwheel.com/work/bibliography/8509577" TargetMode="External"/><Relationship Id="rId82" Type="http://schemas.openxmlformats.org/officeDocument/2006/relationships/hyperlink" Target="https://sciwheel.com/work/bibliography/16966208" TargetMode="External"/><Relationship Id="rId19" Type="http://schemas.openxmlformats.org/officeDocument/2006/relationships/hyperlink" Target="https://sciwheel.com/work/citation?ids=17778579,16966208,17778589,17402262,16605927&amp;pre=&amp;pre=&amp;pre=&amp;pre=&amp;pre=&amp;suf=&amp;suf=&amp;suf=&amp;suf=&amp;suf=&amp;sa=0,0,0,0,0&amp;dbf=0&amp;dbf=0&amp;dbf=0&amp;dbf=0&amp;dbf=0" TargetMode="External"/><Relationship Id="rId14" Type="http://schemas.openxmlformats.org/officeDocument/2006/relationships/hyperlink" Target="https://sciwheel.com/work/citation?ids=16606455,17016014&amp;pre=&amp;pre=&amp;suf=&amp;suf=&amp;sa=0,0&amp;dbf=0&amp;dbf=0" TargetMode="External"/><Relationship Id="rId30" Type="http://schemas.openxmlformats.org/officeDocument/2006/relationships/hyperlink" Target="https://sciwheel.com/work/citation?ids=16605570&amp;pre=&amp;suf=&amp;sa=0&amp;dbf=0" TargetMode="External"/><Relationship Id="rId35" Type="http://schemas.openxmlformats.org/officeDocument/2006/relationships/image" Target="media/image4.png"/><Relationship Id="rId56" Type="http://schemas.openxmlformats.org/officeDocument/2006/relationships/hyperlink" Target="https://sciwheel.com/work/bibliography/2909783" TargetMode="External"/><Relationship Id="rId77" Type="http://schemas.openxmlformats.org/officeDocument/2006/relationships/hyperlink" Target="https://sciwheel.com/work/bibliography/11669716" TargetMode="External"/><Relationship Id="rId100" Type="http://schemas.openxmlformats.org/officeDocument/2006/relationships/fontTable" Target="fontTable.xml"/><Relationship Id="rId8" Type="http://schemas.openxmlformats.org/officeDocument/2006/relationships/hyperlink" Target="https://sciwheel.com/work/citation?ids=16605604&amp;pre=&amp;suf=&amp;sa=0&amp;dbf=0" TargetMode="External"/><Relationship Id="rId51" Type="http://schemas.openxmlformats.org/officeDocument/2006/relationships/hyperlink" Target="https://sciwheel.com/work/bibliography/8052745" TargetMode="External"/><Relationship Id="rId72" Type="http://schemas.openxmlformats.org/officeDocument/2006/relationships/hyperlink" Target="https://sciwheel.com/work/bibliography/17778589" TargetMode="External"/><Relationship Id="rId93" Type="http://schemas.openxmlformats.org/officeDocument/2006/relationships/hyperlink" Target="https://sciwheel.com/work/bibliography/17402252" TargetMode="External"/><Relationship Id="rId9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A683C4-55B1-4961-9DCD-61A87DC0E374}">
  <we:reference id="wa200002534" version="6.0.0.0" store="en-GB" storeType="OMEX"/>
  <we:alternateReferences>
    <we:reference id="wa200002534" version="6.0.0.0" store="wa200002534" storeType="OMEX"/>
  </we:alternateReferences>
  <we:properties>
    <we:property name="sciwheel-csl-items" value="[{&quot;title&quot;:&quot;Fractures about the ankle.&quot;,&quot;page&quot;:&quot;142-152&quot;,&quot;volume&quot;:&quot;77&quot;,&quot;issue&quot;:&quot;1&quot;,&quot;journalAbbreviation&quot;:&quot;J. Bone Joint Surg. Am.&quot;,&quot;id&quot;:&quot;16606486&quot;,&quot;type&quot;:&quot;article-journal&quot;,&quot;container-title&quot;:&quot;The Journal of Bone and Joint Surgery. American Volume&quot;,&quot;container-title-short&quot;:&quot;J. Bone Joint Surg. Am.&quot;,&quot;author&quot;:[{&quot;family&quot;:&quot;Michelson&quot;,&quot;given&quot;:&quot;J D&quot;}],&quot;issued&quot;:{&quot;date-parts&quot;:[[&quot;1995&quot;,&quot;1&quot;]]},&quot;DOI&quot;:&quot;10.2106/00004623-199501000-00020&quot;,&quot;PMID&quot;:&quot;7822349&quot;,&quot;citation-label&quot;:&quot;16606486&quot;},{&quot;title&quot;:&quot;Surgery for type B ankle fracture treatment: a combined randomised and observational study (CROSSBAT).&quot;,&quot;page&quot;:&quot;e013298&quot;,&quot;volume&quot;:&quot;7&quot;,&quot;issue&quot;:&quot;3&quot;,&quot;journalAbbreviation&quot;:&quot;BMJ Open&quot;,&quot;id&quot;:&quot;16605604&quot;,&quot;type&quot;:&quot;article-journal&quot;,&quot;container-title&quot;:&quot;BMJ Open&quot;,&quot;container-title-short&quot;:&quot;BMJ Open&quot;,&quot;abstract&quot;:&quot;BACKGROUND: Isolated type B ankle fractures with no injury to the medial side are the most common type of ankle fracture.OBJECTIVE: This study aimed to determine if surgery is superior to non-surgical management for the treatment of these fractures.METHODS: A pragmatic, multicentre, single-blinded, combined randomised controlled trial and observational study. Setting Participants between 18 and 65 years with a type B ankle fracture and minimal talar shift were recruited from 22 hospitals in Australia and New Zealand. Participants willing to be randomised were randomly allocated to undergo surgical fixation followed by mobilisation in a walking boot for 6 weeks. Those treated non-surgically were managed in a walking boot for 6 weeks. Participants not willing to be randomised formed the observational cohort. Randomisation stratified by site and using permuted variable blocks was administered centrally. Outcome assessors were blinded for the primary outcomes. Primary outcomes Patient-reported ankle function using the American Academy of Orthopaedic Surgeons Foot and Ankle Outcomes Questionnaire (FAOQ) and the physical component score (PCS) of the SF-12v2 General Health Survey at 12 months postinjury. Primary analysis was intention to treat; the randomised and observational cohorts were analysed separately.RESULTS: From August 2010 to October 2013, 160 people were randomised (80 surgical and 80 non-surgical); 139 (71 surgical and 68 non-surgical) were analysed as intention to treat. 276 formed the observational cohort (19 surgical and 257 non-surgical); 220 (18 surgical and 202 non-surgical) were analysed. The randomised cohort demonstrated that surgery was not superior to non-surgery for the FAOQ (49.8 vs 53.0; mean difference 3.2 (95% CI 0.4 to 5.9), p=0.028), or the PCS (53.7 vs 53.2; mean difference 0.6 (-2.9 to 1.8), p=0.63). 23 (32%) and 10 (14%) participants had an adverse event in the surgical and non-surgical groups, respectively. Similar results were found in the observational cohort.CONCLUSIONS: Surgery is not superior to non-surgical management for 44-B1 ankle fractures in the short term, and is associated with increased adverse events.TRIAL REGISTRATION NUMBER: NCT01134094.Published by the BMJ Publishing Group Limited. For permission to use (where not already granted under a licence) please go to http://www.bmj.com/company/products-services/rights-and-licensing/.&quot;,&quot;author&quot;:[{&quot;family&quot;:&quot;Mittal&quot;,&quot;given&quot;:&quot;Rajat&quot;},{&quot;family&quot;:&quot;Harris&quot;,&quot;given&quot;:&quot;Ian A&quot;},{&quot;family&quot;:&quot;Adie&quot;,&quot;given&quot;:&quot;Sam&quot;},{&quot;family&quot;:&quot;Naylor&quot;,&quot;given&quot;:&quot;Justine M&quot;},{&quot;family&quot;:&quot;CROSSBAT Study Group&quot;}],&quot;issued&quot;:{&quot;date-parts&quot;:[[&quot;2017&quot;,&quot;3&quot;,&quot;27&quot;]]},&quot;DOI&quot;:&quot;10.1136/bmjopen-2016-013298&quot;,&quot;PMID&quot;:&quot;28348185&quot;,&quot;PMCID&quot;:&quot;PMC5372107&quot;,&quot;citation-label&quot;:&quot;16605604&quot;},{&quot;title&quot;:&quot;Ankle anatomy for the arthroscopist. Part II: Role of the ankle ligaments in soft tissue impingement.&quot;,&quot;page&quot;:&quot;275-96, v&quot;,&quot;volume&quot;:&quot;11&quot;,&quot;issue&quot;:&quot;2&quot;,&quot;journalAbbreviation&quot;:&quot;Foot Ankle Clin.&quot;,&quot;id&quot;:&quot;16605637&quot;,&quot;type&quot;:&quot;article-journal&quot;,&quot;container-title&quot;:&quot;Foot and Ankle Clinics&quot;,&quot;container-title-short&quot;:&quot;Foot Ankle Clin.&quot;,&quot;abstract&quot;:&quot;The biomechanical anatomy of the ankle ligaments continues to be a subject of interest because detailed knowledge of these structures is essential for proper diagnosis and treatment of the injuries affecting them. Lesions to the ankle ligaments are one of the most common sports injuries and the origin of soft tissue impingement syndrome. Together with the ligaments of the tibiofibular syndesmosis, two large ligamentous complexes are the main static stabilizers of the ankle joint: the lateral collateral ligament and the medial collateral (or deltoid) ligament. This article provides an anatomic description of the various ligaments of the ankle joint, with particular emphasis on specific anatomic details that are often omitted or little known and that have considerable clinical interest because of their involvement in soft tissue syndrome.&quot;,&quot;author&quot;:[{&quot;family&quot;:&quot;Golanó&quot;,&quot;given&quot;:&quot;Pau&quot;},{&quot;family&quot;:&quot;Vega&quot;,&quot;given&quot;:&quot;Jordi&quot;},{&quot;family&quot;:&quot;Pérez-Carro&quot;,&quot;given&quot;:&quot;Luis&quot;},{&quot;family&quot;:&quot;Götzens&quot;,&quot;given&quot;:&quot;Víctor&quot;}],&quot;issued&quot;:{&quot;date-parts&quot;:[[&quot;2006&quot;,&quot;6&quot;]]},&quot;DOI&quot;:&quot;10.1016/j.fcl.2006.03.003&quot;,&quot;PMID&quot;:&quot;16798512&quot;,&quot;citation-label&quot;:&quot;16605637&quot;},{&quot;title&quot;:&quot;2021 IFFAS Award for Excellence Winner: Weightbearing Radiographs Reliably Predict Normal Ankle Congruence in Weber B/SER2 and 4a Fractures: A Prospective Case-Control Study&quot;,&quot;page&quot;:&quot;2473011421S0002&quot;,&quot;volume&quot;:&quot;7&quot;,&quot;issue&quot;:&quot;1&quot;,&quot;journalAbbreviation&quot;:&quot;Foot &amp; Ankle Orthopaedics&quot;,&quot;id&quot;:&quot;16605570&quot;,&quot;type&quot;:&quot;article-journal&quot;,&quot;container-title&quot;:&quot;Foot &amp; Ankle Orthopaedics&quot;,&quot;container-title-short&quot;:&quot;Foot &amp; Ankle Orthopaedics&quot;,&quot;abstract&quot;:&quot;CATEGORY::Ankle; Trauma\nINTRODUCTION/PURPOSE::In Weber B/SER2-4 ankle fractures assessment with weightbearing radiographs to ascertain stability of the ankle mortise has been advised. However, no previous studies report whether this method leads to preservation of normal ankle congruence in ankles deemed stable. The purpose is to evaluate equivalence of ankle congruence of injured ankles after fracture union versus the uninjured side for stable Weber B/SER2 and partially unstable Weber B/SER4a fracture types.\nMETHODS::We conducted a prospective, case-control study of 149 patients with an isolated Weber B fracture demonstrating stability on weightbearing radiographs. All participants were treated nonoperatively with a functional orthosis and full weightbearing allowed. Results from gravity stress radiographs classified ankles as SER2 or SER4a fracture types. We defined an equivalence margin in medial clear space difference of 1.0 millimeters. We also evaluated the reliability of obtaining measurements from weightbearing radiographs.\nRESULTS::No difference in medial clear space between the injured and uninjured ankle could be observed after fracture union for stable Weber B/SER2 (mean difference 0.1 millimeters, 95% confidence interval -0.3 to 0.0, P =.056) or partially unstable Weber B/SER4a fracture types (mean difference 0.0 millimeter, (95% confidence interval -0.1 to 0.1, P =.797). No between group differences could be observed (mean difference 0.0 millimeter, 95% confidence interval -0.2 to 0.2, P=.842). These findings were consistent with equivalence as the higher limit of the confidence intervals for the differences were less than the predefined equivalence margin. Estimated 95% confidence intervals for the intraclass correlation coefficients indicated excellent inter- and intraobserver reliability.\nCONCLUSION::We demonstrated that weightbearing radiographs successfully predict preservation of normal ankle congruence when the weightbearing radiograph is deemed stable. Ankle congruence was equivalent comparing stable Weber B/SER2 and partially unstable Weber B/SER4a fracture types. Excellent reproducibility of the method of obtaining medial clear space measurements was demonstrated.&quot;,&quot;author&quot;:[{&quot;family&quot;:&quot;Gregersen&quot;,&quot;given&quot;:&quot;Martin G.&quot;},{&quot;family&quot;:&quot;Molund&quot;,&quot;given&quot;:&quot;Marius&quot;}],&quot;issued&quot;:{&quot;date-parts&quot;:[[&quot;2022&quot;,&quot;1&quot;]]},&quot;DOI&quot;:&quot;10.1177/2473011421S00029&quot;,&quot;PMCID&quot;:&quot;PMC8794858&quot;,&quot;citation-label&quot;:&quot;16605570&quot;},{&quot;title&quot;:&quot;When is a simple fracture of the lateral malleolus not so simple? how to assess stability, which ones to fix and the role of the deltoid ligament.&quot;,&quot;page&quot;:&quot;851-855&quot;,&quot;volume&quot;:&quot;99-B&quot;,&quot;issue&quot;:&quot;7&quot;,&quot;journalAbbreviation&quot;:&quot;Bone Joint J.&quot;,&quot;id&quot;:&quot;8486135&quot;,&quot;type&quot;:&quot;article-journal&quot;,&quot;container-title&quot;:&quot;The bone &amp; joint journal&quot;,&quot;container-title-short&quot;:&quot;Bone Joint J.&quot;,&quot;abstract&quot;:&quot;Stable fractures of the ankle can be safely treated non-operatively. It is also gradually being recognised that the integrity of the 'medial column' is essential for the stability of the fracture. It is generally thought that bi- and tri-malleolar fractures are unstable, as are pronation external rotation injuries resulting in an isolated high fibular fracture (Weber type-C), where the deltoid ligament is damaged or the medial malleolus fractured. However, how best to identify unstable, isolated, trans-syndesmotic Weber type-B supination external rotation (SER) fractures of the lateral malleolus remains controversial. We provide a rationale as to how to classify SER distal fibular fractures using weight-bearing radiographs, and how this can help guide the management of these common injuries. Cite this article: Bone Joint J 2017;99-B:851-5.©2017 The British Editorial Society of Bone &amp; Joint Surgery.&quot;,&quot;author&quot;:[{&quot;family&quot;:&quot;Gougoulias&quot;,&quot;given&quot;:&quot;N&quot;},{&quot;family&quot;:&quot;Sakellariou&quot;,&quot;given&quot;:&quot;A&quot;}],&quot;issued&quot;:{&quot;date-parts&quot;:[[&quot;2017&quot;,&quot;7&quot;]]},&quot;DOI&quot;:&quot;10.1302/0301-620X.99B7.BJJ-2016-1087.R1&quot;,&quot;PMID&quot;:&quot;28663388&quot;,&quot;citation-label&quot;:&quot;8486135&quot;},{&quot;title&quot;:&quot;Effects of progressive deltoid ligament sectioning on weber B ankle fracture stability.&quot;,&quot;page&quot;:&quot;895-904&quot;,&quot;volume&quot;:&quot;44&quot;,&quot;issue&quot;:&quot;9&quot;,&quot;journalAbbreviation&quot;:&quot;Foot Ankle Int.&quot;,&quot;id&quot;:&quot;16606455&quot;,&quot;type&quot;:&quot;article-journal&quot;,&quot;container-title&quot;:&quot;Foot &amp; Ankle International&quot;,&quot;container-title-short&quot;:&quot;Foot Ankle Int.&quot;,&quot;abstract&quot;:&quot;BACKGROUND: Conventionally, transsyndesmotic fibula fractures with concomitant signs of deltoid ligament injury have been considered unstable and thus treated operatively. Recent studies have indicated that partial deltoid ligament rupture is common and may allow for nonoperative treatment of stress-unstable ankles if normal tibiotalar alignment is obtained in the weightbearing position. Biomechanical support for this principle is scarce. The purpose of this study was to evaluate the biomechanical effects of gradually increasing deltoid ligament injury in transsyndesmotic fibula fractures.METHODS: Fifteen cadaveric ankle specimens were tested using an industrial robot. All specimens were tested in 4 states: native, SER2, SER4a, and SER4b models. Ankle stability was measured in lateral translation, valgus, and internal and external rotation stress in 3 talocrural joint positions: 20 degrees plantarflexion, neutral, and 10 degrees dorsiflexion. Talar shift and talar valgus tilt in the talocrural joint was measured using fluoroscopy.RESULTS: In most tests, SER2 and SER4a models resulted in a small instability increase compared to native joints and thus were deemed stable according to our predefined margins. However, SER4a models were unstable when tested in the plantarflexed position and for external rotation in all positions. In contrast, SER4b models had large-magnitude instability in all directions and all tested positions and were thus deemed unstable.CONCLUSION: This study demonstrated substantial increases in instability between the SER4a and SER4b states. This controlled cadaveric simulation suggests a significant ankle-stabilizing role of the deep posterior deltoid after oblique transsyndesmotic fibular fracture and transection of the superficial and anterior deep deltoid ligaments.CLINICAL RELEVANCE: The study provides new insights into how the heterogenicity of deltoid ligament injuries can affect the natural stability of the ankle after Weber B fractures. These findings may be useful in developing more targeted and better treatment strategies.&quot;,&quot;author&quot;:[{&quot;family&quot;:&quot;Dalen&quot;,&quot;given&quot;:&quot;Andreas F&quot;},{&quot;family&quot;:&quot;Gregersen&quot;,&quot;given&quot;:&quot;Martin G&quot;},{&quot;family&quot;:&quot;Skrede&quot;,&quot;given&quot;:&quot;Aleksander L&quot;},{&quot;family&quot;:&quot;Bjelland&quot;,&quot;given&quot;:&quot;Øystein&quot;},{&quot;family&quot;:&quot;Myklebust&quot;,&quot;given&quot;:&quot;Tor Åge&quot;},{&quot;family&quot;:&quot;Nilsen&quot;,&quot;given&quot;:&quot;Fredrik A&quot;},{&quot;family&quot;:&quot;Molund&quot;,&quot;given&quot;:&quot;Marius&quot;}],&quot;issued&quot;:{&quot;date-parts&quot;:[[&quot;2023&quot;,&quot;9&quot;]]},&quot;DOI&quot;:&quot;10.1177/10711007231180212&quot;,&quot;PMID&quot;:&quot;37480255&quot;,&quot;PMCID&quot;:&quot;PMC10500948&quot;,&quot;citation-label&quot;:&quot;16606455&quot;},{&quot;title&quot;:&quot;Anatomy of the ankle ligaments: a pictorial essay.&quot;,&quot;page&quot;:&quot;557-569&quot;,&quot;volume&quot;:&quot;18&quot;,&quot;issue&quot;:&quot;5&quot;,&quot;journalAbbreviation&quot;:&quot;Knee Surg. Sports Traumatol. Arthrosc.&quot;,&quot;id&quot;:&quot;3071351&quot;,&quot;type&quot;:&quot;article-journal&quot;,&quot;container-title&quot;:&quot;Knee Surgery, Sports Traumatology, Arthroscopy&quot;,&quot;container-title-short&quot;:&quot;Knee Surg. Sports Traumatol. Arthrosc.&quot;,&quot;abstract&quot;:&quot;Understanding the anatomy of the ankle ligaments is important for correct diagnosis and treatment. Ankle ligament injury is the most frequent cause of acute ankle pain. Chronic ankle pain often finds its cause in laxity of one of the ankle ligaments. In this pictorial essay, the ligaments around the ankle are grouped, depending on their anatomic orientation, and each of the ankle ligaments is discussed in detail.&quot;,&quot;author&quot;:[{&quot;family&quot;:&quot;Golanó&quot;,&quot;given&quot;:&quot;Pau&quot;},{&quot;family&quot;:&quot;Vega&quot;,&quot;given&quot;:&quot;Jordi&quot;},{&quot;family&quot;:&quot;de Leeuw&quot;,&quot;given&quot;:&quot;Peter A J&quot;},{&quot;family&quot;:&quot;Malagelada&quot;,&quot;given&quot;:&quot;Francesc&quot;},{&quot;family&quot;:&quot;Manzanares&quot;,&quot;given&quot;:&quot;M Cristina&quot;},{&quot;family&quot;:&quot;Götzens&quot;,&quot;given&quot;:&quot;Víctor&quot;},{&quot;family&quot;:&quot;van Dijk&quot;,&quot;given&quot;:&quot;C Niek&quot;}],&quot;issued&quot;:{&quot;date-parts&quot;:[[&quot;2010&quot;,&quot;5&quot;]]},&quot;DOI&quot;:&quot;10.1007/s00167-010-1100-x&quot;,&quot;PMID&quot;:&quot;20309522&quot;,&quot;PMCID&quot;:&quot;PMC2855022&quot;,&quot;citation-label&quot;:&quot;3071351&quot;},{&quot;title&quot;:&quot;Ankle and midfoot ligaments: Ultrasound with anatomical correlation: A review.&quot;,&quot;page&quot;:&quot;216-226&quot;,&quot;volume&quot;:&quot;107&quot;,&quot;journalAbbreviation&quot;:&quot;Eur. J. Radiol.&quot;,&quot;id&quot;:&quot;16605648&quot;,&quot;type&quot;:&quot;article-journal&quot;,&quot;container-title&quot;:&quot;European Journal of Radiology&quot;,&quot;container-title-short&quot;:&quot;Eur. J. Radiol.&quot;,&quot;abstract&quot;:&quot;We present a detailed overview of anatomical and US features of ankle and midfoot ligaments based on our own dissections and cadaver studies as well as US imaging in cadavers and volunteers. The ligament anatomy about the ankle and midfoot is complex. Most ligaments are superficial and hence very well accessible for US. US technique to obtain optimal visualization however is difficult and requires a learning curve. We discuss US technique in detail for each individual ligament. We divided the ligaments in different groups: tibiofibular ligaments, Bassett's ligament, lateral collateral ligament complex (anterior talofibular ligament, calcaneofibular ligament, lateral talocalcaneal ligament, posterior talofibular ligament), medial collateral ligament complex, spring ligament, Chopart joint ligaments (bifurcate ligament, dorsal talonavicular ligament, lateral calcaneocuboid ligament, long and short plantar ligaments), Lisfranc ligaments, sinus tarsi ligaments.Copyright © 2018 Elsevier B.V. All rights reserved.&quot;,&quot;author&quot;:[{&quot;family&quot;:&quot;Döring&quot;,&quot;given&quot;:&quot;Seema&quot;},{&quot;family&quot;:&quot;Provyn&quot;,&quot;given&quot;:&quot;Steven&quot;},{&quot;family&quot;:&quot;Marcelis&quot;,&quot;given&quot;:&quot;Stefaan&quot;},{&quot;family&quot;:&quot;Shahabpour&quot;,&quot;given&quot;:&quot;Maryam&quot;},{&quot;family&quot;:&quot;Boulet&quot;,&quot;given&quot;:&quot;Cedric&quot;},{&quot;family&quot;:&quot;de Mey&quot;,&quot;given&quot;:&quot;Johan&quot;},{&quot;family&quot;:&quot;De Smet&quot;,&quot;given&quot;:&quot;Aron&quot;},{&quot;family&quot;:&quot;De Maeseneer&quot;,&quot;given&quot;:&quot;Michel&quot;}],&quot;issued&quot;:{&quot;date-parts&quot;:[[&quot;2018&quot;,&quot;10&quot;]]},&quot;DOI&quot;:&quot;10.1016/j.ejrad.2018.08.011&quot;,&quot;PMID&quot;:&quot;30173941&quot;,&quot;citation-label&quot;:&quot;16605648&quot;},{&quot;title&quot;:&quot;Medial ankle instability.&quot;,&quot;page&quot;:&quot;723-738&quot;,&quot;volume&quot;:&quot;8&quot;,&quot;issue&quot;:&quot;4&quot;,&quot;journalAbbreviation&quot;:&quot;Foot Ankle Clin.&quot;,&quot;id&quot;:&quot;5800833&quot;,&quot;type&quot;:&quot;article-journal&quot;,&quot;container-title&quot;:&quot;Foot and Ankle Clinics&quot;,&quot;container-title-short&quot;:&quot;Foot Ankle Clin.&quot;,&quot;abstract&quot;:&quot;Medial instability is suspected on the basis of a patient's ankle feeling like it is \&quot;giving way,\&quot; especially medially, when walking on uneven ground, downhill, or down stairs, pain at the anteromedial aspect of the ankle, and sometimes pain in the lateral ankle, especially during dorsiflexion of the foot. A history of a chronically unstable feeling that is manifested by recurrent injuries with pain, tenderness, and sometimes bruising over the medial and lateral ligaments, is considered to indicate combined medial and lateral instability that is believed to result in rotational instability of the talus in the ankle mortise. Pain on the medial gutter of the ankle and a valgus and pronation deformity of the foot are hallmarks of the disorder. The deformity typically can be corrected by the activation of the posterior tibial muscle. In contrast to stress radiographs, arthroscopy is a helpful diagnostic tool in verifying medial instability; it proved that the lateral ankle ligaments also can be involved. The treatment for symptomatic medial instability of the ankle might include reconstruction of all involved ligaments at the medial, and, if necessary, the lateral ankle. In the case of progressed foot deformity or bilateral long-standing valgus and pronation deformity of the foot, an additional calcaneal lengthening osteotomy might be considered. A classification of the instability into three types has been helpful for determining surgical treatment and the after treatment. This treatment concept provides high patient satisfaction and reliable clinical results.&quot;,&quot;author&quot;:[{&quot;family&quot;:&quot;Hintermann&quot;,&quot;given&quot;:&quot;Beat&quot;}],&quot;issued&quot;:{&quot;date-parts&quot;:[[&quot;2003&quot;,&quot;12&quot;]]},&quot;PMID&quot;:&quot;14719838&quot;,&quot;citation-label&quot;:&quot;5800833&quot;},{&quot;title&quot;:&quot;The repair of a ruptured deltoid ligament is not necessary in ankle fractures.&quot;,&quot;page&quot;:&quot;920-921&quot;,&quot;volume&quot;:&quot;77&quot;,&quot;issue&quot;:&quot;6&quot;,&quot;journalAbbreviation&quot;:&quot;J. Bone Joint Surg. Br.&quot;,&quot;id&quot;:&quot;16605624&quot;,&quot;type&quot;:&quot;article-journal&quot;,&quot;container-title&quot;:&quot;The Journal of Bone and Joint Surgery. British Volume&quot;,&quot;container-title-short&quot;:&quot;J. Bone Joint Surg. Br.&quot;,&quot;abstract&quot;:&quot;We randomised 50 patients with ankle fractures of Weber types B and C and a ruptured deltoid ligament treated by open reduction and internal fixation to two treatment groups to examine the influence of the repair of a ruptured deltoid ligament. No differences were found except for a longer duration of surgery in the repair group. Our findings suggest that a ruptured deltoid ligament can be left unexplored without any effect either on early mobilisation or on the long-term result.&quot;,&quot;author&quot;:[{&quot;family&quot;:&quot;Strömsöe&quot;,&quot;given&quot;:&quot;K&quot;},{&quot;family&quot;:&quot;Höqevold&quot;,&quot;given&quot;:&quot;H E&quot;},{&quot;family&quot;:&quot;Skjeldal&quot;,&quot;given&quot;:&quot;S&quot;},{&quot;family&quot;:&quot;Alho&quot;,&quot;given&quot;:&quot;A&quot;}],&quot;issued&quot;:{&quot;date-parts&quot;:[[&quot;1995&quot;,&quot;11&quot;]]},&quot;DOI&quot;:&quot;10.1302/0301-620X.77B6.7593106&quot;,&quot;PMID&quot;:&quot;7593106&quot;,&quot;citation-label&quot;:&quot;16605624&quot;},{&quot;title&quot;:&quot;Deltoid ligament repair versus syndesmotic fixation in bimalleolar equivalent ankle fractures.&quot;,&quot;page&quot;:&quot;245-249&quot;,&quot;volume&quot;:&quot;29&quot;,&quot;issue&quot;:&quot;5&quot;,&quot;journalAbbreviation&quot;:&quot;J. Orthop. Trauma&quot;,&quot;id&quot;:&quot;8486088&quot;,&quot;type&quot;:&quot;article-journal&quot;,&quot;container-title&quot;:&quot;Journal of Orthopaedic Trauma&quot;,&quot;container-title-short&quot;:&quot;J. Orthop. Trauma&quot;,&quot;abstract&quot;:&quot;OBJECTIVES: To compare the outcomes of bimalleolar equivalent ankle fractures treated with lateral malleolus open reduction and internal fixation (ORIF) with transsyndesmotic fixation versus lateral malleolus ORIF with deltoid ligament repair.DESIGN: Retrospective design.SETTING: Single level I trauma center.PATIENTS/PARTICIPANTS: Subjects with bimalleolar equivalent ankle fractures were eligible for enrollment. Patients with posterior or medial malleolar fractures and age &lt; 16 years were excluded. Twenty-seven total subjects met inclusion criteria. Fifteen patients were treated with lateral malleolus ORIF with transsyndesmotic fixation, whereas 12 were treated with lateral malleolus ORIF with deltoid ligament repair.INTERVENTION: Lateral malleolus ORIF with transsyndesmotic fixation versus lateral malleolus ORIF with deltoid ligament repair.MAIN OUTCOME MEASUREMENTS: Lower Extremity Function Scale, Foot and Ankle Disability Index, Short Musculoskeletal Function Assessment, Foot and Ankle Outcome Score, American Orthopaedic Foot and Ankle Society Ankle-Hindfoot Scale, Visual Analog Pain Scale, and overall function of lower extremity.RESULTS: Univariate analysis of the outcome questionnaire variables demonstrated no statistically significant differences between the 2 groups. All patients in the syndesmotic fixation group underwent a subsequent procedure for removal of the syndesmotic implant. Additionally, there were 2 complications in the syndesmotic group that required repeat operative intervention.CONCLUSIONS: Repairing the deltoid ligament at the time of lateral malleolus fixation demonstrates subjective, functional, and radiologic outcomes that are comparable with lateral malleolus fixation with syndesmotic fixation for bimalleolar equivalent ankle fractures. The former avoids the costs and inherits surgical risks that occur during a subsequent operation for removal of the syndesmotic implant.LEVEL OF EVIDENCE: Therapeutic Level III. See Instructions for Authors for a complete description of levels of evidence.&quot;,&quot;author&quot;:[{&quot;family&quot;:&quot;Jones&quot;,&quot;given&quot;:&quot;Christopher R&quot;},{&quot;family&quot;:&quot;Nunley&quot;,&quot;given&quot;:&quot;James A&quot;}],&quot;issued&quot;:{&quot;date-parts&quot;:[[&quot;2015&quot;,&quot;5&quot;]]},&quot;DOI&quot;:&quot;10.1097/BOT.0000000000000220&quot;,&quot;PMID&quot;:&quot;25186845&quot;,&quot;citation-label&quot;:&quot;8486088&quot;},{&quot;title&quot;:&quot;Syndesmotic fixation in supination-external rotation ankle fractures: a prospective randomized study.&quot;,&quot;page&quot;:&quot;1103-1109&quot;,&quot;volume&quot;:&quot;32&quot;,&quot;issue&quot;:&quot;12&quot;,&quot;journalAbbreviation&quot;:&quot;Foot Ankle Int.&quot;,&quot;id&quot;:&quot;5238703&quot;,&quot;type&quot;:&quot;article-journal&quot;,&quot;container-title&quot;:&quot;Foot &amp; Ankle International&quot;,&quot;container-title-short&quot;:&quot;Foot Ankle Int.&quot;,&quot;abstract&quot;:&quot;BACKGROUND: This study was designed to assess whether transfixion of an unstable syndesmosis is necessary in supination-external rotation (Lauge-Hansen SE/Weber B)-type ankle fractures.METHODS: A prospective study of 140 patients with unilateral Lauge-Hansen supination-external rotation type 4 ankle fractures was done. After bony fixation, the 7.5-Nm standardized external rotation (ER) stress test for both ankles was performed under fluoroscopy. A positive stress examination was defined as a difference of more than 2 mm side-to-side in the tibiotalar or tibiofibular clear spaces on mortise radiographs. If the stress test was positive, the patient was randomized to either syndesmotic transfixion with 3.5-mm tricortical screws or no syndesmotic fixation. Clinical outcome was assessed using the Olerud-Molander scoring system, RAND 36-Item Health Survey, and Visual Analogue Scale (VAS) to measure pain and function after a minimum 1-year of followup.RESULTS: Twenty four (17%) of 140 patients had positive standardized 7.5-Nm ER stress tests after malleolar fixation. The stress view was positive three times on tibiotalar clear space, seven on tibiofibular clear space, and 14 times on both tibiotalar and tibiofibular clear spaces. There was no significant difference between the two randomization groups with regards to Olerud-Molander functional score, VAS scale measuring pain and function, or RAND 36-Item Health Survey pain or physical function at 1 year.CONCLUSION: Relevant syndesmotic injuries are rare in supination-external rotation ankle fractures, and syndesmotic transfixion with a screw did not influence the functional outcome or pain after the 1-year followup compared with no fixation.&quot;,&quot;author&quot;:[{&quot;family&quot;:&quot;Pakarinen&quot;,&quot;given&quot;:&quot;Harri J&quot;},{&quot;family&quot;:&quot;Flinkkilä&quot;,&quot;given&quot;:&quot;Tapio E&quot;},{&quot;family&quot;:&quot;Ohtonen&quot;,&quot;given&quot;:&quot;Pasi P&quot;},{&quot;family&quot;:&quot;Hyvönen&quot;,&quot;given&quot;:&quot;Pekka H&quot;},{&quot;family&quot;:&quot;Lakovaara&quot;,&quot;given&quot;:&quot;Martti T&quot;},{&quot;family&quot;:&quot;Leppilahti&quot;,&quot;given&quot;:&quot;Juhana I&quot;},{&quot;family&quot;:&quot;Ristiniemi&quot;,&quot;given&quot;:&quot;Jukka Y&quot;}],&quot;issued&quot;:{&quot;date-parts&quot;:[[&quot;2011&quot;,&quot;12&quot;]]},&quot;DOI&quot;:&quot;10.3113/FAI.2011.1103&quot;,&quot;PMID&quot;:&quot;22381193&quot;,&quot;citation-label&quot;:&quot;5238703&quot;},{&quot;title&quot;:&quot;Evaluation of transsyndesmotic fixation and primary deltoid ligament repair in ankle fractures with suspected combined deltoid ligament injury.&quot;,&quot;page&quot;:&quot;694-700&quot;,&quot;volume&quot;:&quot;57&quot;,&quot;issue&quot;:&quot;4&quot;,&quot;journalAbbreviation&quot;:&quot;J. Foot Ankle Surg.&quot;,&quot;id&quot;:&quot;16605596&quot;,&quot;type&quot;:&quot;article-journal&quot;,&quot;container-title&quot;:&quot;The Journal of Foot and Ankle Surgery&quot;,&quot;container-title-short&quot;:&quot;J. Foot Ankle Surg.&quot;,&quot;abstract&quot;:&quot;The present prospective study examined the utility of the intraoperative tap test/technique for distal tibiofibular syndesmosis in the diagnosis of deltoid ligament rupture and compared the outcomes of transsyndesmotic fixation to deltoid ligament repair with suture anchor. This diagnostic technique was performed in 59 ankle fractures with suspected deltoid ligament injury. The width of the medial clear space of 59 cases was evaluated to assess the sensitivity and specificity. Those with deltoid ligament rupture were randomly assigned to 2 groups and treated with deltoid ligament repair with a suture anchor or with syndesmosis screw fixation. All the patients were assessed with the American Orthopaedic Foot and Ankle Society (AOFAS) ankle-hindfoot scale, short-form 36-item questionnaire (SF-36), and visual analog scale (VAS). The tap test was positive in 53 cases. However, surgical exploration demonstrated that 51 cases (86.4%) had a combined deltoid ligament injury and fracture. The sensitivity and specificity of the tap test was 100.0% and 75.0%, respectively. Finally, 26 cases (96.3%) in the syndesmosis screw group and 22 (91.7%) in the deltoid repair group were followed up. No statistically significant differences were found in the AOFAS ankle-hindfoot scale score, SF-36 score, or VAS score between the 2 groups. The malreduction rate in the syndesmosis screw group was 34.6% and that in the deltoid repair group was 9.09%. The tap test is an intraoperative diagnostic method to use to evaluate for deltoid ligament injury. Deltoid ligament repair with a suture anchor had good functional and radiologic outcomes comparable to those with syndesmotic screw fixation but has a lower malreduction rate. We did not encounter the issue of internal fixation failure or implant removal.Copyright © 2017 The American College of Foot and Ankle Surgeons. Published by Elsevier Inc. All rights reserved.&quot;,&quot;author&quot;:[{&quot;family&quot;:&quot;Wu&quot;,&quot;given&quot;:&quot;Kai&quot;},{&quot;family&quot;:&quot;Lin&quot;,&quot;given&quot;:&quot;Jian&quot;},{&quot;family&quot;:&quot;Huang&quot;,&quot;given&quot;:&quot;Jianhua&quot;},{&quot;family&quot;:&quot;Wang&quot;,&quot;given&quot;:&quot;Qiugen&quot;}],&quot;issued&quot;:{&quot;date-parts&quot;:[[&quot;2018&quot;,&quot;4&quot;,&quot;13&quot;]]},&quot;DOI&quot;:&quot;10.1053/j.jfas.2017.12.007&quot;,&quot;PMID&quot;:&quot;29661674&quot;,&quot;citation-label&quot;:&quot;16605596&quot;},{&quot;title&quot;:&quot;Anatomic fixation of supination external rotation type IV equivalent ankle fractures.&quot;,&quot;page&quot;:&quot;250-255&quot;,&quot;volume&quot;:&quot;29&quot;,&quot;issue&quot;:&quot;5&quot;,&quot;journalAbbreviation&quot;:&quot;J. Orthop. Trauma&quot;,&quot;id&quot;:&quot;16605927&quot;,&quot;type&quot;:&quot;article-journal&quot;,&quot;container-title&quot;:&quot;Journal of Orthopaedic Trauma&quot;,&quot;container-title-short&quot;:&quot;J. Orthop. Trauma&quot;,&quot;abstract&quot;:&quot;OBJECTIVES: To compare radiographic and clinical outcomes of supination external rotation type IV equivalent (SER IV E) ankle fractures (AO/OTA classification 44-B2.1) treated with transsyndesmotic screw fixation with those treated with deltoid and posterior inferior tibiofibular ligament (PITFL) repair.DESIGN: Case series and single-surgeon retrospective analysis of a prospective database.SETTING: Academic level I trauma center.PATIENTS: Forty-five SER IV E ankle fractures fulfilled all inclusion/exclusion criteria with at least 12 months of radiographic follow-up.INTERVENTION: Deltoid and PITFL repair in addition to lateral malleolus fixation compared with transsyndesmotic screw fixation.MAIN OUTCOME MEASUREMENTS: Syndesmotic reduction compared with contralateral extremity on a postoperative computed tomography scan and maintenance of reduction based on final postoperative radiographs [medial clear space (MCS) and tibiofibular clear space (TCS)].RESULTS: There was no significant difference in mean postoperative TCS, MCS, or change in TCS or MCS between the cohorts. The anatomic treatment group had significantly better postoperative syndesmotic reduction compared with the transsyndesmotic cohort (7.4% vs. 33.3%; P = 0.02). Fourteen patients in the transsyndesmotic screw cohort underwent removal compared with 3 patients in the anatomic cohort who required secondary procedures. The transsyndesmotic screw cohort had statistically significant better mean dorsiflexion of ankle (mean 20 vs. 17 degrees; P = 0.02).CONCLUSIONS: This comparison of treatment strategies for SER IV E ankle fractures has shown an improvement in immediate postoperative syndesmotic reduction and the elimination of reoperation for removal of transsyndesmotic screws in patients treated with PITFL repair. Previous research has shown a good correlation between functional outcomes and syndesmotic reduction; however, further investigation into the functional outcomes of these patients is necessary to determine the future clinical impact of this anatomic fixation strategy.LEVEL OF EVIDENCE: Therapeutic Level III. See Instructions for Authors for a complete description of levels of evidence.&quot;,&quot;author&quot;:[{&quot;family&quot;:&quot;Little&quot;,&quot;given&quot;:&quot;Milton M T&quot;},{&quot;family&quot;:&quot;Berkes&quot;,&quot;given&quot;:&quot;Marschall B&quot;},{&quot;family&quot;:&quot;Schottel&quot;,&quot;given&quot;:&quot;Patrick C&quot;},{&quot;family&quot;:&quot;Garner&quot;,&quot;given&quot;:&quot;Matthew R&quot;},{&quot;family&quot;:&quot;Lazaro&quot;,&quot;given&quot;:&quot;Lionel E&quot;},{&quot;family&quot;:&quot;Birnbaum&quot;,&quot;given&quot;:&quot;Jacqueline F&quot;},{&quot;family&quot;:&quot;Helfet&quot;,&quot;given&quot;:&quot;David L&quot;},{&quot;family&quot;:&quot;Lorich&quot;,&quot;given&quot;:&quot;Dean G&quot;}],&quot;issued&quot;:{&quot;date-parts&quot;:[[&quot;2015&quot;,&quot;5&quot;]]},&quot;DOI&quot;:&quot;10.1097/BOT.0000000000000318&quot;,&quot;PMID&quot;:&quot;25900750&quot;,&quot;citation-label&quot;:&quot;16605927&quot;},{&quot;title&quot;:&quot;Quality of life measurement: bibliographic study of patient assessed health outcome measures&quot;,&quot;page&quot;:&quot;1417-1417&quot;,&quot;volume&quot;:&quot;324&quot;,&quot;issue&quot;:&quot;7351&quot;,&quot;journalAbbreviation&quot;:&quot;BMJ&quot;,&quot;id&quot;:&quot;597539&quot;,&quot;type&quot;:&quot;article-journal&quot;,&quot;container-title&quot;:&quot;BMJ&quot;,&quot;container-title-short&quot;:&quot;BMJ&quot;,&quot;author&quot;:[{&quot;family&quot;:&quot;Garratt&quot;,&quot;given&quot;:&quot;A&quot;}],&quot;issued&quot;:{&quot;date-parts&quot;:[[&quot;2002&quot;,&quot;6&quot;,&quot;15&quot;]]},&quot;DOI&quot;:&quot;10.1136/bmj.324.7351.1417&quot;,&quot;PMCID&quot;:&quot;PMC115850&quot;,&quot;citation-label&quot;:&quot;597539&quot;},{&quot;title&quot;:&quot;Development and Validation of the Ankle Fracture Outcome of Rehabilitation Measure&quot;,&quot;volume&quot;:&quot;44&quot;,&quot;issue&quot;:&quot;7&quot;,&quot;id&quot;:&quot;16605943&quot;,&quot;type&quot;:&quot;article-journal&quot;,&quot;container-title&quot;:&quot;Journal of Orthophaedic and Sports Physical Therapy&quot;,&quot;author&quot;:[{&quot;family&quot;:&quot;Mcphail&quot;,&quot;given&quot;:&quot;Steven&quot;}],&quot;issued&quot;:{&quot;date-parts&quot;:[[&quot;2014&quot;,&quot;6&quot;]]},&quot;citation-label&quot;:&quot;16605943&quot;},{&quot;title&quot;:&quot;A systematic review of the measurement properties of patient reported outcome measures used for adults with an ankle fracture.&quot;,&quot;page&quot;:&quot;70&quot;,&quot;volume&quot;:&quot;3&quot;,&quot;issue&quot;:&quot;1&quot;,&quot;journalAbbreviation&quot;:&quot;J. Patient Rep. Outcomes&quot;,&quot;id&quot;:&quot;16605922&quot;,&quot;type&quot;:&quot;article-journal&quot;,&quot;container-title&quot;:&quot;Journal of Patient-Reported Outcomes&quot;,&quot;container-title-short&quot;:&quot;J. Patient Rep. Outcomes&quot;,&quot;abstract&quot;:&quot;BACKGROUND: Ankle fractures are painful and debilitating injuries that pose a significant burden to society and healthcare systems. Patient reported outcome measures (PROMs) are commonly used outcome measures in clinical trials of interventions for ankle fracture but there is little evidence on their validity and reliability. This systematic review aims to identify and appraise evidence for the measurement properties of ankle specific PROMs used in adults with an ankle fracture using Consensus Based Standards for the Selection of Health Measurement Instrument (COSMIN) methodology.METHODS: We searched MEDLINE, Embase and CINAHL online databases for evidence of measurement properties of ankle specific PROMs. Articles were included if they assessed or described the development of the PROM in adults with ankle fracture. Articles were ineligible if they used the PROM to assess the measurement properties of another instrument. Abstracts without full articles and conference proceedings were ineligible, as were articles that adapted the PROM under evaluation without any formal justification of the changes as part of a cross-cultural validation or translation process. Two reviewers completed the screening. To assess methodological quality we used COSMIN risk of bias checklist and summarised evidence using COSMIN quality criteria and a modified Grading of Recommendations Assessment, Development and Evaluation (GRADE) approach. Two reviewers assessed the methodological quality and extracted the data for a sample of articles.RESULTS: The searches returned a total of 377 articles. From these, six articles were included after application of eligibility criteria. These articles evaluated three PROMs: A-FORM, OMAS and AAOS. The A-FORM had evidence of a robust development process within the patient population, however lacks post-formulation testing. The OMAS showed sufficient levels of reliability, internal consistency and construct validity. The AAOS showed low quality evidence of sufficient construct validity.CONCLUSIONS: There is insufficient evidence to support the recommendation of a particular PROM for use in adult ankle fracture research based on COSMIN methodology. Further validation of these outcome measures is required in order to ensure PROMs used in this area are sufficiently valid and reliable to assess treatment effects. This would enable high quality, evidenced-based management of adults with ankle fracture.&quot;,&quot;author&quot;:[{&quot;family&quot;:&quot;McKeown&quot;,&quot;given&quot;:&quot;Rebecca&quot;},{&quot;family&quot;:&quot;Ellard&quot;,&quot;given&quot;:&quot;David R&quot;},{&quot;family&quot;:&quot;Rabiu&quot;,&quot;given&quot;:&quot;Abdul-Rasheed&quot;},{&quot;family&quot;:&quot;Karasouli&quot;,&quot;given&quot;:&quot;Eleni&quot;},{&quot;family&quot;:&quot;Kearney&quot;,&quot;given&quot;:&quot;Rebecca S&quot;}],&quot;issued&quot;:{&quot;date-parts&quot;:[[&quot;2019&quot;,&quot;12&quot;,&quot;17&quot;]]},&quot;DOI&quot;:&quot;10.1186/s41687-019-0159-5&quot;,&quot;PMID&quot;:&quot;31848877&quot;,&quot;PMCID&quot;:&quot;PMC6917678&quot;,&quot;citation-label&quot;:&quot;16605922&quot;},{&quot;title&quot;:&quot;The COSMIN checklist for assessing the methodological quality of studies on measurement properties of health status measurement instruments: an international Delphi study.&quot;,&quot;page&quot;:&quot;539-549&quot;,&quot;volume&quot;:&quot;19&quot;,&quot;issue&quot;:&quot;4&quot;,&quot;journalAbbreviation&quot;:&quot;Qual. Life Res.&quot;,&quot;id&quot;:&quot;3923832&quot;,&quot;type&quot;:&quot;article-journal&quot;,&quot;container-title&quot;:&quot;Quality of Life Research&quot;,&quot;container-title-short&quot;:&quot;Qual. Life Res.&quot;,&quot;abstract&quot;:&quot;BACKGROUND: Aim of the COSMIN study (COnsensus-based Standards for the selection of health status Measurement INstruments) was to develop a consensus-based checklist to evaluate the methodological quality of studies on measurement properties. We present the COSMIN checklist and the agreement of the panel on the items of the checklist.METHODS: A four-round Delphi study was performed with international experts (psychologists, epidemiologists, statisticians and clinicians). Of the 91 invited experts, 57 agreed to participate (63%). Panel members were asked to rate their (dis)agreement with each proposal on a five-point scale. Consensus was considered to be reached when at least 67% of the panel members indicated 'agree' or 'strongly agree'.RESULTS: Consensus was reached on the inclusion of the following measurement properties: internal consistency, reliability, measurement error, content validity (including face validity), construct validity (including structural validity, hypotheses testing and cross-cultural validity), criterion validity, responsiveness, and interpretability. The latter was not considered a measurement property. The panel also reached consensus on how these properties should be assessed.CONCLUSIONS: The resulting COSMIN checklist could be useful when selecting a measurement instrument, peer-reviewing a manuscript, designing or reporting a study on measurement properties, or for educational purposes.&quot;,&quot;author&quot;:[{&quot;family&quot;:&quot;Mokkink&quot;,&quot;given&quot;:&quot;Lidwine B&quot;},{&quot;family&quot;:&quot;Terwee&quot;,&quot;given&quot;:&quot;Caroline B&quot;},{&quot;family&quot;:&quot;Patrick&quot;,&quot;given&quot;:&quot;Donald L&quot;},{&quot;family&quot;:&quot;Alonso&quot;,&quot;given&quot;:&quot;Jordi&quot;},{&quot;family&quot;:&quot;Stratford&quot;,&quot;given&quot;:&quot;Paul W&quot;},{&quot;family&quot;:&quot;Knol&quot;,&quot;given&quot;:&quot;Dirk L&quot;},{&quot;family&quot;:&quot;Bouter&quot;,&quot;given&quot;:&quot;Lex M&quot;},{&quot;family&quot;:&quot;de Vet&quot;,&quot;given&quot;:&quot;Henrica C W&quot;}],&quot;issued&quot;:{&quot;date-parts&quot;:[[&quot;2010&quot;,&quot;5&quot;]]},&quot;DOI&quot;:&quot;10.1007/s11136-010-9606-8&quot;,&quot;PMID&quot;:&quot;20169472&quot;,&quot;PMCID&quot;:&quot;PMC2852520&quot;,&quot;citation-label&quot;:&quot;3923832&quot;},{&quot;title&quot;:&quot;An evaluation of the measurement properties of the Olerud Molander Ankle Score in adults with an ankle fracture.&quot;,&quot;page&quot;:&quot;1-8&quot;,&quot;volume&quot;:&quot;112&quot;,&quot;journalAbbreviation&quot;:&quot;Physiotherapy&quot;,&quot;id&quot;:&quot;16606484&quot;,&quot;type&quot;:&quot;article-journal&quot;,&quot;container-title&quot;:&quot;Physiotherapy&quot;,&quot;container-title-short&quot;:&quot;Physiotherapy&quot;,&quot;abstract&quot;:&quot;OBJECTIVES: The aim of this study is to evaluate the measurement properties of the Olerud Molander Ankle Score in adults with an ankle fracture.METHODS: Patients completed outcome measure questionnaires at baseline, six, 10- and 16-weeks postinjury as part of an ongoing clinical trial on ankle fracture rehabilitation. The internal consistency, convergent validity, structural validity and interpretability of the Olerud Molander Ankle Score was assessed. This was achieved through using the respective analysis methods of Cronbach's alpha, correlation coefficients, principal component analysis, evaluation of floor and ceiling scores and estimation of the minimally important change using anchor-based methods.RESULTS: The Olerud Molander Ankle Score showed adequate convergent validity against hypotheses set in relation to scores of comparator instruments. Principal component analysis demonstrated that the measure has two subscales: ankle function and ankle symptoms. The internal consistency of the measure and the ankle function subscale was sufficient, but inconclusive for the ankle symptoms subscale. There were no floor and ceiling effects present within the scores and the estimated minimally important change was 9.7 points.CONCLUSION: The Olerud Molander Ankle Score demonstrates sufficient measurement properties and is likely to be primarily measuring the construct of patient reported function following ankle fracture. Further research should evaluate the relevance of other domains to individuals recovering from and ankle fracture, such as social participation and psychological wellbeing. The development of a core outcome set would be advantageous to standardise outcome measurement collection in this area.Copyright © 2021 The Author(s). Published by Elsevier Ltd.. All rights reserved.&quot;,&quot;author&quot;:[{&quot;family&quot;:&quot;McKeown&quot;,&quot;given&quot;:&quot;Rebecca&quot;},{&quot;family&quot;:&quot;Parsons&quot;,&quot;given&quot;:&quot;Helen&quot;},{&quot;family&quot;:&quot;Ellard&quot;,&quot;given&quot;:&quot;David R&quot;},{&quot;family&quot;:&quot;Kearney&quot;,&quot;given&quot;:&quot;Rebecca S&quot;}],&quot;issued&quot;:{&quot;date-parts&quot;:[[&quot;2021&quot;,&quot;9&quot;]]},&quot;DOI&quot;:&quot;10.1016/j.physio.2021.03.015&quot;,&quot;PMID&quot;:&quot;34000602&quot;,&quot;citation-label&quot;:&quot;16606484&quot;},{&quot;title&quot;:&quot;A scoring scale for symptom evaluation after ankle fracture.&quot;,&quot;page&quot;:&quot;190-194&quot;,&quot;volume&quot;:&quot;103&quot;,&quot;issue&quot;:&quot;3&quot;,&quot;journalAbbreviation&quot;:&quot;Arch. Orthop. Trauma. Surg.&quot;,&quot;id&quot;:&quot;11398418&quot;,&quot;type&quot;:&quot;article-journal&quot;,&quot;container-title&quot;:&quot;Archives of orthopaedic and traumatic surgery. Archiv fur orthopadische und Unfall-Chirurgie&quot;,&quot;container-title-short&quot;:&quot;Arch. Orthop. Trauma. Surg.&quot;,&quot;abstract&quot;:&quot;A scoring system for evaluating symptoms after ankle fractures is presented. It is tested against (1) a linear analogue scale; (2) the limitation in range of motion in loaded dorsal extension; (3) the presence of osteoarthritis; and (4) the presence of dislocations on radiographs. It correlates well with these four parameters, which are considered to summarize the results after this type of injury, and is therefore considered to assess the symptoms in an objective way. The scoring system is recommended for scientific investigations, as even minor subjective differences in disability experienced by the patient are significantly separated. The use of this system will simplify the comparison of results presented by different authors.&quot;,&quot;author&quot;:[{&quot;family&quot;:&quot;Olerud&quot;,&quot;given&quot;:&quot;C&quot;},{&quot;family&quot;:&quot;Molander&quot;,&quot;given&quot;:&quot;H&quot;}],&quot;issued&quot;:{&quot;date-parts&quot;:[[&quot;1984&quot;]]},&quot;DOI&quot;:&quot;10.1007/BF00435553&quot;,&quot;PMID&quot;:&quot;6437370&quot;,&quot;citation-label&quot;:&quot;11398418&quot;},{&quot;title&quot;:&quot;Comparison of the Self-reported Foot and Ankle Score (SEFAS) and the American Orthopedic Foot and Ankle Society Score (AOFAS).&quot;,&quot;page&quot;:&quot;1031-1036&quot;,&quot;volume&quot;:&quot;35&quot;,&quot;issue&quot;:&quot;10&quot;,&quot;journalAbbreviation&quot;:&quot;Foot Ankle Int.&quot;,&quot;id&quot;:&quot;2877036&quot;,&quot;type&quot;:&quot;article-journal&quot;,&quot;container-title&quot;:&quot;Foot &amp; Ankle International&quot;,&quot;container-title-short&quot;:&quot;Foot Ankle Int.&quot;,&quot;abstract&quot;:&quot;BACKGROUND: The Self-reported Foot and Ankle Score (SEFAS) is a patient-reported outcome measure, while the American Orthopedic Foot and Ankle Society Score (AOFAS) is a clinician-based score, both used for evaluation of foot and ankle disorders. The purpose of this study was to compare the psychometric properties of these 2 scoring systems.METHODS: A total of 95 patients with great toe disorders and 111 patients with ankle or hindfoot disorders completed the 2 scores before and after surgery. We evaluated time to complete the scores in seconds, correlations between scores with Spearman's correlation coefficient (r s), floor and ceiling effects by proportion of individuals who reached the minimum or maximum values, test-retest reliability and interobserver reliability by intraclass correlation coefficient (ICC), internal consistency by Cronbach's coefficient alpha (CA), and responsiveness by effect size (ES). Data are provided as correlation coefficients, means, and standard deviations.RESULTS: SEFAS was completed 3 times faster than AOFAS. The scores correlated with an r s of .49 for great toe disorders and .67 for ankle/hindfoot disorders (both P &lt;  .001). None of the scores had any floor or ceiling effect. SEFAS test-retest ICC values measured 1 week apart were .89 for great toe and .92 for ankle/hindfoot disorders, while the corresponding ICC values for AOFAS were .57 and .75. AOFAS interobserver reliability ICC values were .70 for great toe and .81 for ankle/hindfoot disorders. SEFAS CA values were .85 for great toe and .86 for ankle/hindfoot disorders, while the corresponding CA values for AOFAS were .15 and .42. SEFAS ES values were 1.15 for great toe and 1.39 for ankle/hindfoot disorders, while the corresponding ES values for AOFAS were 1.05 and 1.73.CONCLUSION: As SEFAS showed similar or better outcome in our tests and was completed 3 times faster than AOFAS, we recommend SEFAS for evaluation of patients with foot and ankle disorders.LEVEL OF EVIDENCE: Level II, prospective comparative study.© The Author(s) 2014.&quot;,&quot;author&quot;:[{&quot;family&quot;:&quot;Cöster&quot;,&quot;given&quot;:&quot;Maria C&quot;},{&quot;family&quot;:&quot;Rosengren&quot;,&quot;given&quot;:&quot;Björn E&quot;},{&quot;family&quot;:&quot;Bremander&quot;,&quot;given&quot;:&quot;Ann&quot;},{&quot;family&quot;:&quot;Brudin&quot;,&quot;given&quot;:&quot;Lars&quot;},{&quot;family&quot;:&quot;Karlsson&quot;,&quot;given&quot;:&quot;Magnus K&quot;}],&quot;issued&quot;:{&quot;date-parts&quot;:[[&quot;2014&quot;,&quot;10&quot;]]},&quot;DOI&quot;:&quot;10.1177/1071100714543647&quot;,&quot;PMID&quot;:&quot;25015390&quot;,&quot;citation-label&quot;:&quot;2877036&quot;},{&quot;title&quot;:&quot;Minimally important change, measurement error, and responsiveness for the Self-Reported Foot and Ankle Score.&quot;,&quot;page&quot;:&quot;300-304&quot;,&quot;volume&quot;:&quot;88&quot;,&quot;issue&quot;:&quot;3&quot;,&quot;journalAbbreviation&quot;:&quot;Acta Orthop.&quot;,&quot;id&quot;:&quot;12136194&quot;,&quot;type&quot;:&quot;article-journal&quot;,&quot;container-title&quot;:&quot;Acta Orthopaedica&quot;,&quot;container-title-short&quot;:&quot;Acta Orthop.&quot;,&quot;abstract&quot;:&quot;Background and purpose - Patient-reported outcome measures (PROMs) are increasingly used to evaluate results in orthopedic surgery. To enhance good responsiveness with a PROM, the minimally important change (MIC) should be established. MIC reflects the smallest measured change in score that is perceived as being relevant by the patients. We assessed MIC for the Self-reported Foot and Ankle Score (SEFAS) used in Swedish national registries. Patients and methods - Patients with forefoot disorders (n = 83) or hindfoot/ankle disorders (n = 80) completed the SEFAS before surgery and 6 months after surgery. At 6 months also, a patient global assessment (PGA) scale-as external criterion-was completed. Measurement error was expressed as the standard error of a single determination. MIC was calculated by (1) median change scores in improved patients on the PGA scale, and (2) the best cutoff point (BCP) and area under the curve (AUC) using analysis of receiver operating characteristic curves (ROCs). Results - The change in mean summary score was the same, 9 (SD 9), in patients with forefoot disorders and in patients with hindfoot/ankle disorders. MIC for SEFAS in the total sample was 5 score points (IQR: 2-8) and the measurement error was 2.4. BCP was 5 and AUC was 0.8 (95% CI: 0.7-0.9). Interpretation - As previously shown, SEFAS has good responsiveness. The score change in SEFAS 6 months after surgery should exceed 5 score points in both forefoot patients and hindfoot/ankle patients to be considered as being clinically relevant.&quot;,&quot;author&quot;:[{&quot;family&quot;:&quot;Cöster&quot;,&quot;given&quot;:&quot;Maria C&quot;},{&quot;family&quot;:&quot;Nilsdotter&quot;,&quot;given&quot;:&quot;Anna&quot;},{&quot;family&quot;:&quot;Brudin&quot;,&quot;given&quot;:&quot;Lars&quot;},{&quot;family&quot;:&quot;Bremander&quot;,&quot;given&quot;:&quot;Ann&quot;}],&quot;issued&quot;:{&quot;date-parts&quot;:[[&quot;2017&quot;,&quot;6&quot;]]},&quot;DOI&quot;:&quot;10.1080/17453674.2017.1293445&quot;,&quot;PMID&quot;:&quot;28464751&quot;,&quot;PMCID&quot;:&quot;PMC5434599&quot;,&quot;citation-label&quot;:&quot;12136194&quot;},{&quot;title&quot;:&quot;Validity, reliability, and responsiveness of the Self-reported Foot and Ankle Score (SEFAS) in forefoot, hindfoot, and ankle disorders.&quot;,&quot;page&quot;:&quot;187-194&quot;,&quot;volume&quot;:&quot;85&quot;,&quot;issue&quot;:&quot;2&quot;,&quot;journalAbbreviation&quot;:&quot;Acta Orthop.&quot;,&quot;id&quot;:&quot;2909783&quot;,&quot;type&quot;:&quot;article-journal&quot;,&quot;container-title&quot;:&quot;Acta Orthopaedica&quot;,&quot;container-title-short&quot;:&quot;Acta Orthop.&quot;,&quot;abstract&quot;:&quot;BACKGROUND AND PURPOSE: The self-reported foot and ankle score (SEFAS) is a questionnaire designed to evaluate disorders of the foot and ankle, but it is only validated for arthritis in the ankle. We validated SEFAS in patients with forefoot, midfoot, hindfoot, and ankle disorders.PATIENTS AND METHODS: 118 patients with forefoot disorders and 106 patients with hindfoot or ankle disorders completed the SEFAS, the foot and ankle outcome score (FAOS), SF-36, and EQ-5D before surgery. We evaluated construct validity for SEFAS versus FAOS, SF-36, and EQ-5D; floor and ceiling effects; test-retest reliability (ICC); internal consistency; and agreement. Responsiveness was evaluated by effect size (ES) and standardized response mean (SRM) 6 months after surgery. The analyses were done separately in patients with forefoot disorders and hindfoot/ankle disorders.RESULTS: Comparing SEFAS to the other scores, convergent validity (when correlating foot-specific questions) and divergent validity (when correlating foot-specific and general questions) were confirmed. SEFAS had no floor and ceiling effects. In patients with forefoot disorders, ICC was 0.92 (CI: 0.85-0.96), Cronbach's α was 0.84, ES was 1.29, and SRM was 1.27. In patients with hindfoot or ankle disorders, ICC was 0.93 (CI: 0.88-0.96), Cronbach's α was 0.86, ES was 1.05, and SRM was 0.99.INTERPRETATION: SEFAS has acceptable validity, reliability, and responsiveness in patients with various forefoot, hindfoot, and ankle disorders. SEFAS is therefore an appropriate patient- reported outcome measure (PROM) for these patients, even in national registries.&quot;,&quot;author&quot;:[{&quot;family&quot;:&quot;Cöster&quot;,&quot;given&quot;:&quot;Maria C&quot;},{&quot;family&quot;:&quot;Bremander&quot;,&quot;given&quot;:&quot;Ann&quot;},{&quot;family&quot;:&quot;Rosengren&quot;,&quot;given&quot;:&quot;Björn E&quot;},{&quot;family&quot;:&quot;Magnusson&quot;,&quot;given&quot;:&quot;Håkan&quot;},{&quot;family&quot;:&quot;Carlsson&quot;,&quot;given&quot;:&quot;Ake&quot;},{&quot;family&quot;:&quot;Karlsson&quot;,&quot;given&quot;:&quot;Magnus K&quot;}],&quot;issued&quot;:{&quot;date-parts&quot;:[[&quot;2014&quot;,&quot;4&quot;]]},&quot;DOI&quot;:&quot;10.3109/17453674.2014.889979&quot;,&quot;PMID&quot;:&quot;24564747&quot;,&quot;PMCID&quot;:&quot;PMC3967263&quot;,&quot;citation-label&quot;:&quot;2909783&quot;},{&quot;title&quot;:&quot;Evaluation of three patient reported outcome measures following operative fixation of closed ankle fractures.&quot;,&quot;page&quot;:&quot;134&quot;,&quot;volume&quot;:&quot;19&quot;,&quot;issue&quot;:&quot;1&quot;,&quot;journalAbbreviation&quot;:&quot;BMC Musculoskelet. Disord.&quot;,&quot;id&quot;:&quot;8509577&quot;,&quot;type&quot;:&quot;article-journal&quot;,&quot;container-title&quot;:&quot;BMC Musculoskeletal Disorders&quot;,&quot;container-title-short&quot;:&quot;BMC Musculoskelet. Disord.&quot;,&quot;abstract&quot;:&quot;BACKGROUND: Several patient reported outcome measures (PROMs) are available for assessing the outcomes of ankle fracture but few have been compared for recommended measurement properties. This study compares the measurement properties of the Lower Extremity Function Scale (LEFS), Olerud Molander Ankle Score (OMAS) and Self-Reported Foot and Ankle Score (SEFAS) following ankle surgery.METHODS: The retrospective cohort study included 959 patients aged 18 years and over who underwent surgical treatment (ORIF) for unstable and closed ankle fractures in SE Norway. The PROMs were included in a postal questionnaire sent to patients' homes in 2015, three years after surgery. Missing data, structural validity, internal consistency, test-retest reliability and validity were assessed.RESULTS: Confirmatory factor analysis results showed model fit for the SEFAS and a bi-dimensional LEFS with scales of easy and difficult items. The OMAS performed less satisfactorily. Cronbach's alpha and test-retest correlations ranged from 0.82 to 0.96 and 0.91 to 0.93 respectively. The smallest detectable differences for group and individual comparisons were 14.1 to 20.6 and 0.93 to 1.55; SEFAS performed best. As hypothesised, instrument scores were highly correlated and with those for the EQ-5D and SF-36 physical functioning. Mean imputation where half or more items are completed increased usable scores by 1.4-15.7% without affecting measurement properties.CONCLUSIONS: The three instruments largely performed satisfactorily in relation to important measurement properties but the LEFS had evidence for two dimensions relating to easier and more difficult aspects of function. Mean imputation where half or more items are completed increased the number of usable responses for all three instruments. The three instruments represent different approaches to measuring outcomes and their content should be considered carefully when choosing between them. The SEFAS is designed for a range of foot disorders including ankle fractures and has the best measurement properties in this population.&quot;,&quot;author&quot;:[{&quot;family&quot;:&quot;Garratt&quot;,&quot;given&quot;:&quot;Andrew M&quot;},{&quot;family&quot;:&quot;Naumann&quot;,&quot;given&quot;:&quot;Markus G&quot;},{&quot;family&quot;:&quot;Sigurdsen&quot;,&quot;given&quot;:&quot;Ulf&quot;},{&quot;family&quot;:&quot;Utvåg&quot;,&quot;given&quot;:&quot;Stein Erik&quot;},{&quot;family&quot;:&quot;Stavem&quot;,&quot;given&quot;:&quot;Knut&quot;}],&quot;issued&quot;:{&quot;date-parts&quot;:[[&quot;2018&quot;,&quot;5&quot;,&quot;2&quot;]]},&quot;DOI&quot;:&quot;10.1186/s12891-018-2051-5&quot;,&quot;PMID&quot;:&quot;29720142&quot;,&quot;PMCID&quot;:&quot;PMC5930432&quot;,&quot;citation-label&quot;:&quot;8509577&quot;},{&quot;title&quot;:&quot;Functional outcomes following surgical-site infections after operative fixation of closed ankle fractures.&quot;,&quot;page&quot;:&quot;311-316&quot;,&quot;volume&quot;:&quot;23&quot;,&quot;issue&quot;:&quot;4&quot;,&quot;journalAbbreviation&quot;:&quot;Foot Ankle Surg.&quot;,&quot;id&quot;:&quot;16606459&quot;,&quot;type&quot;:&quot;article-journal&quot;,&quot;container-title&quot;:&quot;Foot and ankle surgery : official journal of the European Society of Foot and Ankle Surgeons&quot;,&quot;container-title-short&quot;:&quot;Foot Ankle Surg.&quot;,&quot;abstract&quot;:&quot;BACKGROUND: To compare the functional outcomes between patients with and without postoperative surgical-site infection (SSI) after surgical treatment in closed ankle fractures.METHODS: Retrospective cohort study with prospective follow-up. Of 1011 treated patients, 959 were eligible for inclusion in a postal survey. Functional outcomes were assessed using three self-reported questionnaires.RESULTS: In total 567 patients responded a median of 4.3 years (range 3.1-6.2 years) after surgery. In total 29/567 had an SSI. The mean Olerud and Molander Ankle Score was 19.8 points lower for patients with a deep SSI (p=0.02), the Lower Extremity Functional Scale score was 10.2 points lower (p&lt; 0.01) and the Self-Reported Foot &amp; Ankle Questionnaire score was 5.0 points higher (p=0.10) than for those without an SSI, after adjusting for age, sex, smoking status, diabetes, physical status, fracture classification and duration of surgery.CONCLUSIONS: Patients with a deep SSI had worse long-term functional outcomes than those without an SSI.Copyright © 2016 European Foot and Ankle Society. Published by Elsevier Ltd. All rights reserved.&quot;,&quot;author&quot;:[{&quot;family&quot;:&quot;Naumann&quot;,&quot;given&quot;:&quot;Markus G&quot;},{&quot;family&quot;:&quot;Sigurdsen&quot;,&quot;given&quot;:&quot;Ulf&quot;},{&quot;family&quot;:&quot;Utvåg&quot;,&quot;given&quot;:&quot;Stein Erik&quot;},{&quot;family&quot;:&quot;Stavem&quot;,&quot;given&quot;:&quot;Knut&quot;}],&quot;issued&quot;:{&quot;date-parts&quot;:[[&quot;2017&quot;,&quot;12&quot;]]},&quot;DOI&quot;:&quot;10.1016/j.fas.2016.10.002&quot;,&quot;PMID&quot;:&quot;29202994&quot;,&quot;citation-label&quot;:&quot;16606459&quot;},{&quot;title&quot;:&quot;EQ-5D: a measure of health status from the EuroQol Group.&quot;,&quot;page&quot;:&quot;337-343&quot;,&quot;volume&quot;:&quot;33&quot;,&quot;issue&quot;:&quot;5&quot;,&quot;journalAbbreviation&quot;:&quot;Ann. Med.&quot;,&quot;id&quot;:&quot;1175040&quot;,&quot;type&quot;:&quot;article-journal&quot;,&quot;container-title&quot;:&quot;Annals of medicine&quot;,&quot;container-title-short&quot;:&quot;Ann. Med.&quot;,&quot;abstract&quot;:&quot;Established in 1987, the EuroQol Group initially comprised a network of international, multilingual and multidisciplinary researchers from seven centres in Finland, the Netherlands, Norway, Sweden and the UK. Nowadays, the Group comprises researchers from Canada, Denmark, Germany, Greece, Japan, New Zealand, Slovenia, Spain, the USA and Zimbabwe. The process of shared development and local experimentation resulted in EQ-5D, a generic measure of health status that provides a simple descriptive profile and a single index value that can be used in the clinical and economic evaluation of health care and in population health surveys. Currently, EQ-5D is being widely used in different countries by clinical researchers in a variety of clinical areas. EQ-5D is also being used by eight out of the first 10 of the top 50 pharmaceutical companies listed in the annual report of Pharma Business (November/December 1999). Furthermore, EQ-5D is one of the handful of measures recommended for use in cost-effectiveness analyses by the Washington Panel on Cost Effectiveness in Health and Medicine. EQ-5D has now been translated into most major languages with the EuroQol Group closely monitoring the process.&quot;,&quot;author&quot;:[{&quot;family&quot;:&quot;Rabin&quot;,&quot;given&quot;:&quot;R&quot;},{&quot;family&quot;:&quot;de Charro&quot;,&quot;given&quot;:&quot;F&quot;}],&quot;issued&quot;:{&quot;date-parts&quot;:[[&quot;2001&quot;,&quot;7&quot;]]},&quot;DOI&quot;:&quot;10.3109/07853890109002087&quot;,&quot;PMID&quot;:&quot;11491192&quot;,&quot;citation-label&quot;:&quot;1175040&quot;},{&quot;title&quot;:&quot;The use of gravity or manual-stress radiographs in the assessment of supination-external rotation fractures of the ankle.&quot;,&quot;page&quot;:&quot;1055-1059&quot;,&quot;volume&quot;:&quot;89&quot;,&quot;issue&quot;:&quot;8&quot;,&quot;journalAbbreviation&quot;:&quot;J. Bone Joint Surg. Br.&quot;,&quot;id&quot;:&quot;13145447&quot;,&quot;type&quot;:&quot;article-journal&quot;,&quot;container-title&quot;:&quot;The Journal of Bone and Joint Surgery. British Volume&quot;,&quot;container-title-short&quot;:&quot;J. Bone Joint Surg. Br.&quot;,&quot;abstract&quot;:&quot;Supination-external rotation (SER) fractures of the ankle may present with a medial ligamentous injury that is not apparent on the initial radiographs. A cadaver gravity-stress view has been described, but the manual-stress view is considered to be the examination of choice for the diagnosis of medial injuries. We prospectively compared the efficacy of these two examinations. We undertook both examinations in 29 patients with SER fractures. Of these, 16 (55%) were stress-positive, i.e. and had widening of the medial clear space of &gt; 4 mm with a mean medial clear space of 6.09 mm (4.4 to 8.1) on gravity-stress and 5.81 mm (4.0 to 8.2) on manual-stress examination, and 13 patients (45%) were stress-negative with a mean medial clear space of 3.91 mm (3.3 to 5.1) and 3.61 mm (2.6 to 4.5) on examination of gravity- and manual-stress respectively. The mean absolute visual analgoue scale score for discomfort in the examination of gravity stress was 3.45 (1 to 6) and in the manual-stress procedure 6.14 (3 to 10). We have shown that examination of gravity-stress is as reliable and perceived as more comfortable than that of manual stress. We recommend using it as the initial diagnostic screening examination for the detection of occult medial ligamentous injuries in SER fractures of the ankle.&quot;,&quot;author&quot;:[{&quot;family&quot;:&quot;Schock&quot;,&quot;given&quot;:&quot;H J&quot;},{&quot;family&quot;:&quot;Pinzur&quot;,&quot;given&quot;:&quot;M&quot;},{&quot;family&quot;:&quot;Manion&quot;,&quot;given&quot;:&quot;L&quot;},{&quot;family&quot;:&quot;Stover&quot;,&quot;given&quot;:&quot;M&quot;}],&quot;issued&quot;:{&quot;date-parts&quot;:[[&quot;2007&quot;,&quot;8&quot;]]},&quot;DOI&quot;:&quot;10.1302/0301-620X.89B8.19134&quot;,&quot;PMID&quot;:&quot;17785745&quot;,&quot;citation-label&quot;:&quot;13145447&quot;},{&quot;title&quot;:&quot;The use of weightbearing radiographs to assess the stability   of supination-external rotation fractures of the ankle.&quot;,&quot;page&quot;:&quot;693-698&quot;,&quot;volume&quot;:&quot;130&quot;,&quot;issue&quot;:&quot;5&quot;,&quot;journalAbbreviation&quot;:&quot;Arch. Orthop. Trauma Surg.&quot;,&quot;id&quot;:&quot;16605935&quot;,&quot;type&quot;:&quot;article-journal&quot;,&quot;container-title&quot;:&quot;Archives of orthopaedic and trauma surgery&quot;,&quot;container-title-short&quot;:&quot;Arch. Orthop. Trauma Surg.&quot;,&quot;abstract&quot;:&quot;BACKGROUND: Isolated lateral malleolar fractures usually result from a supination-external rotation (SER) injury and may include a deltoid ligament rupture. The necessity of operative treatment is based on the recognition of a relevant medial soft-tissue disruption. Currently used tests to assess ankle stability include manual stress radiographs and gravity stress radiographs, but seem to overestimate the need for fracture fixation.METHODS: We investigated the use of weightbearing radiographs to distinguish stable and unstable isolated lateral malleolar fractures induced by the SER mechanism in 57 patients. Patients with stable fractures (SER type II according to the Lauge-Hansen classification) were treated non-operatively with varying external support. Forty-seven patients were evaluated by questionnaire and AOFAS ankle-hindfoot score. Follow-up was 18-120 months (mean 62).RESULTS: Fifty-one of fifty-seven (90%) patients were found to have stable fractures (SER type II) and were treated nonoperatively. The AOFAS score was 96.1 points on average (range 85-100) at latest follow-up. Four patients reported minor complaints. A \&quot;moderate\&quot; correlation of risk factors (i.e. smoking) to delayed bone healing was found while the correlation of varying external support (i.e. bandage, cast) to the AOFAS score and delayed bone healing was \&quot;poor\&quot;.CONCLUSION: The use of weightbearing radiographs is an easy, pain-free, safe and reliable method to exclude the need for operative treatment, with excellent clinical outcome in the majority of the patients seen at latest follow-up. The delay of 3-10 days until the decision about surgical treatment is well accepted by the patients.&quot;,&quot;author&quot;:[{&quot;family&quot;:&quot;Weber&quot;,&quot;given&quot;:&quot;Martin&quot;},{&quot;family&quot;:&quot;Burmeister&quot;,&quot;given&quot;:&quot;Helge&quot;},{&quot;family&quot;:&quot;Flueckiger&quot;,&quot;given&quot;:&quot;Gerhard&quot;},{&quot;family&quot;:&quot;Krause&quot;,&quot;given&quot;:&quot;Fabian G&quot;}],&quot;issued&quot;:{&quot;date-parts&quot;:[[&quot;2010&quot;,&quot;5&quot;]]},&quot;DOI&quot;:&quot;10.1007/s00402-010-1051-1&quot;,&quot;PMID&quot;:&quot;20082083&quot;,&quot;citation-label&quot;:&quot;16605935&quot;},{&quot;title&quot;:&quot;Radiological assessment of osteo-arthrosis.&quot;,&quot;page&quot;:&quot;494-502&quot;,&quot;volume&quot;:&quot;16&quot;,&quot;issue&quot;:&quot;4&quot;,&quot;journalAbbreviation&quot;:&quot;Ann. Rheum. Dis.&quot;,&quot;id&quot;:&quot;3806748&quot;,&quot;type&quot;:&quot;article-journal&quot;,&quot;container-title&quot;:&quot;Annals of the Rheumatic Diseases&quot;,&quot;container-title-short&quot;:&quot;Ann. Rheum. Dis.&quot;,&quot;author&quot;:[{&quot;family&quot;:&quot;Kellgren&quot;,&quot;given&quot;:&quot;J H&quot;},{&quot;family&quot;:&quot;Lawrence&quot;,&quot;given&quot;:&quot;J S&quot;}],&quot;issued&quot;:{&quot;date-parts&quot;:[[&quot;1957&quot;,&quot;12&quot;]]},&quot;DOI&quot;:&quot;10.1136/ard.16.4.494&quot;,&quot;PMID&quot;:&quot;13498604&quot;,&quot;PMCID&quot;:&quot;PMC1006995&quot;,&quot;citation-label&quot;:&quot;3806748&quot;},{&quot;title&quot;:&quot;Measurement properties of instruments assessing self-efficacy in patients with rheumatic diseases.&quot;,&quot;page&quot;:&quot;1161-1171&quot;,&quot;volume&quot;:&quot;53&quot;,&quot;issue&quot;:&quot;7&quot;,&quot;journalAbbreviation&quot;:&quot;Rheumatology (Oxford)&quot;,&quot;id&quot;:&quot;8983974&quot;,&quot;type&quot;:&quot;article-journal&quot;,&quot;container-title&quot;:&quot;Rheumatology (Oxford, England)&quot;,&quot;container-title-short&quot;:&quot;Rheumatology (Oxford)&quot;,&quot;abstract&quot;:&quot;The measurement properties of instruments assessing self-efficacy (SE) in patients with rheumatic diseases were reviewed. The consensus-based standards for the selection of health measurement instruments (COSMIN) checklist was applied following systematic searches of seven electronic databases from 1989 to December 2011. Fifteen articles met the inclusion criteria that included the arthritis SE scales (ASES), generalized SE scale (GSES), joint protection SE scale (JP-SES), Marcus &amp; Resnick SE exercise behaviour (SEEB) instruments, and RA SE scale (RASE). The ASES and RASE have undergone more than one evaluation. There was little formal evaluation of content validity for the instruments. Evidence for the RASE suggests that it is not unidimensional. The JP-SES and SEEB were evaluated using modern psychometric methods. The instruments require further evaluation before application. The quality of the evidence for the ASES and RASE is generally poor. The generic focus of the GSES limits its relevance. The JP-SES and SEEB have only undergone one evaluation and that relating to the latter was narrow in scope. Future studies should address these methodological weaknesses.© The Author 2013. Published by Oxford University Press on behalf of the British Society for Rheumatology. All rights reserved. For Permissions, please email: journals.permissions@oup.com.&quot;,&quot;author&quot;:[{&quot;family&quot;:&quot;Garratt&quot;,&quot;given&quot;:&quot;Andrew M&quot;},{&quot;family&quot;:&quot;Løchting&quot;,&quot;given&quot;:&quot;Ida&quot;},{&quot;family&quot;:&quot;Smedslund&quot;,&quot;given&quot;:&quot;Geir&quot;},{&quot;family&quot;:&quot;Hagen&quot;,&quot;given&quot;:&quot;Kåre B&quot;}],&quot;issued&quot;:{&quot;date-parts&quot;:[[&quot;2014&quot;,&quot;7&quot;]]},&quot;DOI&quot;:&quot;10.1093/rheumatology/ket374&quot;,&quot;PMID&quot;:&quot;24249031&quot;,&quot;citation-label&quot;:&quot;8983974&quot;},{&quot;title&quot;:&quot;The COSMIN checklist for evaluating the methodological quality of studies on measurement properties: a clarification of its content.&quot;,&quot;page&quot;:&quot;22&quot;,&quot;volume&quot;:&quot;10&quot;,&quot;journalAbbreviation&quot;:&quot;BMC Med. Res. Methodol.&quot;,&quot;id&quot;:&quot;1782523&quot;,&quot;type&quot;:&quot;article-journal&quot;,&quot;container-title&quot;:&quot;BMC Medical Research Methodology&quot;,&quot;container-title-short&quot;:&quot;BMC Med. Res. Methodol.&quot;,&quot;abstract&quot;:&quot;BACKGROUND: The COSMIN checklist (COnsensus-based Standards for the selection of health status Measurement INstruments) was developed in an international Delphi study to evaluate the methodological quality of studies on measurement properties of health-related patient reported outcomes (HR-PROs). In this paper, we explain our choices for the design requirements and preferred statistical methods for which no evidence is available in the literature or on which the Delphi panel members had substantial discussion.METHODS: The issues described in this paper are a reflection of the Delphi process in which 43 panel members participated.RESULTS: The topics discussed are internal consistency (relevance for reflective and formative models, and distinction with unidimensionality), content validity (judging relevance and comprehensiveness), hypotheses testing as an aspect of construct validity (specificity of hypotheses), criterion validity (relevance for PROs), and responsiveness (concept and relation to validity, and (in) appropriate measures).CONCLUSIONS: We expect that this paper will contribute to a better understanding of the rationale behind the items, thereby enhancing the acceptance and use of the COSMIN checklist.&quot;,&quot;author&quot;:[{&quot;family&quot;:&quot;Mokkink&quot;,&quot;given&quot;:&quot;Lidwine B&quot;},{&quot;family&quot;:&quot;Terwee&quot;,&quot;given&quot;:&quot;Caroline B&quot;},{&quot;family&quot;:&quot;Knol&quot;,&quot;given&quot;:&quot;Dirk L&quot;},{&quot;family&quot;:&quot;Stratford&quot;,&quot;given&quot;:&quot;Paul W&quot;},{&quot;family&quot;:&quot;Alonso&quot;,&quot;given&quot;:&quot;Jordi&quot;},{&quot;family&quot;:&quot;Patrick&quot;,&quot;given&quot;:&quot;Donald L&quot;},{&quot;family&quot;:&quot;Bouter&quot;,&quot;given&quot;:&quot;Lex M&quot;},{&quot;family&quot;:&quot;de Vet&quot;,&quot;given&quot;:&quot;Henrica Cw&quot;}],&quot;issued&quot;:{&quot;date-parts&quot;:[[&quot;2010&quot;,&quot;3&quot;,&quot;18&quot;]]},&quot;DOI&quot;:&quot;10.1186/1471-2288-10-22&quot;,&quot;PMID&quot;:&quot;20298572&quot;,&quot;PMCID&quot;:&quot;PMC2848183&quot;,&quot;citation-label&quot;:&quot;1782523&quot;},{&quot;title&quot;:&quot;Compared to conventional physiotherapy, does the use of an ankle trainer device after Weber B ankle fracture operation improve outcome and shorten hospital stay? A randomized controlled trial.&quot;,&quot;page&quot;:&quot;1040-1047&quot;,&quot;volume&quot;:&quot;34&quot;,&quot;issue&quot;:&quot;8&quot;,&quot;journalAbbreviation&quot;:&quot;Clin. Rehabil.&quot;,&quot;id&quot;:&quot;16606442&quot;,&quot;type&quot;:&quot;article-journal&quot;,&quot;container-title&quot;:&quot;Clinical Rehabilitation&quot;,&quot;container-title-short&quot;:&quot;Clin. Rehabil.&quot;,&quot;abstract&quot;:&quot;OBJECTIVE: To compare the functional outcomes and length of hospital stay for patients treated with conventional physiotherapy compared to a new ankle trainer device after Weber B ankle fractures.DESIGN: The patients were randomized, and then followed up at 3, 6, 12 and 52 weeks by a blinded physiotherapist.SETTING: This study was done at a level 1 trauma centre.SUBJECTS: One hundred and forty consecutive patients with Weber B ankle fractures that were operated on were screened for eligibility, of whom 113 were included in the study.INTERVENTIONS: Conventional physiotherapy with stretching exercises, using a non-elastic band or using new ankle trainer.MAIN MEASURES: Outcomes were evaluated with Olerud-Molander ankle score, Visual analogue scale for pain and ankle dorsiflexion at 3, 6, 12 and 52 weeks follow-up. Time of hospitalization and complications were registered.RESULTS: Superior Olerud-Molander ankle scores were observed at three weeks follow-up in the ankle trainer group 40.9 (10.8), compared to the conventional group 35.3 (14.2) (P = 0.021). At one-year follow-up, there was no difference between the groups (P = 0.386). The ankle trainer group had a shorter hospital stay with a mean 2.6 days (0.98) compared to 3.2 days (1.47) in the conventional group (P = 0.026).CONCLUSION: The patients who were treated with the new ankle trainer device recovered more rapidly, evaluated by the Olerud-Molander ankle score and had a shorter stay in hospital compared to the conventional physiotherapy group. No between group differences could be observed at long-term follow-up.&quot;,&quot;author&quot;:[{&quot;family&quot;:&quot;Molund&quot;,&quot;given&quot;:&quot;Marius&quot;},{&quot;family&quot;:&quot;Hellesnes&quot;,&quot;given&quot;:&quot;Jan&quot;},{&quot;family&quot;:&quot;Berdal&quot;,&quot;given&quot;:&quot;Gøran&quot;},{&quot;family&quot;:&quot;Andreassen&quot;,&quot;given&quot;:&quot;Bernt Stray&quot;},{&quot;family&quot;:&quot;Andreassen&quot;,&quot;given&quot;:&quot;Geir Stray&quot;}],&quot;issued&quot;:{&quot;date-parts&quot;:[[&quot;2020&quot;,&quot;8&quot;]]},&quot;DOI&quot;:&quot;10.1177/0269215520929727&quot;,&quot;PMID&quot;:&quot;32526153&quot;,&quot;PMCID&quot;:&quot;PMC7372581&quot;,&quot;citation-label&quot;:&quot;16606442&quot;},{&quot;title&quot;:&quot;Practical Biostatistics How to Calculate Sample Size in Randomized Controlled Trial? Baoliang Zhong, MD From Affiliated Mental Health Center, Tongji Medical College of Huazhong University of Science &amp; Technology&quot;,&quot;id&quot;:&quot;16605921&quot;,&quot;type&quot;:&quot;article-journal&quot;,&quot;issued&quot;:{&quot;date-parts&quot;:[[]]},&quot;citation-label&quot;:&quot;16605921&quot;},{&quot;title&quot;:&quot;How to calculate sample size in randomized controlled trial?&quot;,&quot;page&quot;:&quot;51-54&quot;,&quot;volume&quot;:&quot;1&quot;,&quot;issue&quot;:&quot;1&quot;,&quot;journalAbbreviation&quot;:&quot;J. Thorac. Dis.&quot;,&quot;id&quot;:&quot;2790916&quot;,&quot;type&quot;:&quot;article-journal&quot;,&quot;container-title&quot;:&quot;Journal of thoracic disease&quot;,&quot;container-title-short&quot;:&quot;J. Thorac. Dis.&quot;,&quot;abstract&quot;:&quot;To design clinical trials, efficiency, ethics, cost effectively, research duration and sample size calculations are the key things to remember. This review highlights the statistical issues to estimate the sample size requirement. It elaborates the theory, methods and steps for the sample size calculation in randomized controlled trials. It also emphasizes that researchers should consider the study design first and then choose appropriate sample size calculation method.&quot;,&quot;author&quot;:[{&quot;family&quot;:&quot;Zhong&quot;,&quot;given&quot;:&quot;Baoliang&quot;}],&quot;issued&quot;:{&quot;date-parts&quot;:[[&quot;2009&quot;,&quot;12&quot;]]},&quot;PMID&quot;:&quot;22263004&quot;,&quot;PMCID&quot;:&quot;PMC3256489&quot;,&quot;citation-label&quot;:&quot;2790916&quot;},{&quot;title&quot;:&quot;Quality criteria were proposed for measurement properties of health status questionnaires.&quot;,&quot;page&quot;:&quot;34-42&quot;,&quot;volume&quot;:&quot;60&quot;,&quot;issue&quot;:&quot;1&quot;,&quot;journalAbbreviation&quot;:&quot;J. Clin. Epidemiol.&quot;,&quot;id&quot;:&quot;3516770&quot;,&quot;type&quot;:&quot;article-journal&quot;,&quot;container-title&quot;:&quot;Journal of Clinical Epidemiology&quot;,&quot;container-title-short&quot;:&quot;J. Clin. Epidemiol.&quot;,&quot;abstract&quot;:&quot;OBJECTIVES: Recently, an increasing number of systematic reviews have been published in which the measurement properties of health status questionnaires are compared. For a meaningful comparison, quality criteria for measurement properties are needed. Our aim was to develop quality criteria for design, methods, and outcomes of studies on the development and evaluation of health status questionnaires.\n\n\nSTUDY DESIGN AND SETTING: Quality criteria for content validity, internal consistency, criterion validity, construct validity, reproducibility, longitudinal validity, responsiveness, floor and ceiling effects, and interpretability were derived from existing guidelines and consensus within our research group.\n\n\nRESULTS: For each measurement property a criterion was defined for a positive, negative, or indeterminate rating, depending on the design, methods, and outcomes of the validation study.\n\n\nCONCLUSION: Our criteria make a substantial contribution toward defining explicit quality criteria for measurement properties of health status questionnaires. Our criteria can be used in systematic reviews of health status questionnaires, to detect shortcomings and gaps in knowledge of measurement properties, and to design validation studies. The future challenge will be to refine and complete the criteria and to reach broad consensus, especially on quality criteria for good measurement properties.&quot;,&quot;author&quot;:[{&quot;family&quot;:&quot;Terwee&quot;,&quot;given&quot;:&quot;Caroline B&quot;},{&quot;family&quot;:&quot;Bot&quot;,&quot;given&quot;:&quot;Sandra D M&quot;},{&quot;family&quot;:&quot;de Boer&quot;,&quot;given&quot;:&quot;Michael R&quot;},{&quot;family&quot;:&quot;van der Windt&quot;,&quot;given&quot;:&quot;Daniëlle A W M&quot;},{&quot;family&quot;:&quot;Knol&quot;,&quot;given&quot;:&quot;Dirk L&quot;},{&quot;family&quot;:&quot;Dekker&quot;,&quot;given&quot;:&quot;Joost&quot;},{&quot;family&quot;:&quot;Bouter&quot;,&quot;given&quot;:&quot;Lex M&quot;},{&quot;family&quot;:&quot;de Vet&quot;,&quot;given&quot;:&quot;Henrica C W&quot;}],&quot;issued&quot;:{&quot;date-parts&quot;:[[&quot;2007&quot;,&quot;1&quot;,&quot;1&quot;]]},&quot;DOI&quot;:&quot;10.1016/j.jclinepi.2006.03.012&quot;,&quot;PMID&quot;:&quot;17161752&quot;,&quot;citation-label&quot;:&quot;3516770&quot;},{&quot;title&quot;:&quot;Rating the methodological quality in systematic reviews of studies on measurement properties: a scoring system for the COSMIN checklist.&quot;,&quot;page&quot;:&quot;651-657&quot;,&quot;volume&quot;:&quot;21&quot;,&quot;issue&quot;:&quot;4&quot;,&quot;journalAbbreviation&quot;:&quot;Qual. Life Res.&quot;,&quot;id&quot;:&quot;3923829&quot;,&quot;type&quot;:&quot;article-journal&quot;,&quot;container-title&quot;:&quot;Quality of Life Research&quot;,&quot;container-title-short&quot;:&quot;Qual. Life Res.&quot;,&quot;abstract&quot;:&quot;BACKGROUND: The COSMIN checklist is a standardized tool for assessing the methodological quality of studies on measurement properties. It contains 9 boxes, each dealing with one measurement property, with 5-18 items per box about design aspects and statistical methods. Our aim was to develop a scoring system for the COSMIN checklist to calculate quality scores per measurement property when using the checklist in systematic reviews of measurement properties.\n\n\nMETHODS: The scoring system was developed based on discussions among experts and testing of the scoring system on 46 articles from a systematic review. Four response options were defined for each COSMIN item (excellent, good, fair, and poor). A quality score per measurement property is obtained by taking the lowest rating of any item in a box (\&quot;worst score counts\&quot;).\n\n\nRESULTS: Specific criteria for excellent, good, fair, and poor quality for each COSMIN item are described. In defining the criteria, the \&quot;worst score counts\&quot; algorithm was taken into consideration. This means that only fatal flaws were defined as poor quality. The scores of the 46 articles show how the scoring system can be used to provide an overview of the methodological quality of studies included in a systematic review of measurement properties.\n\n\nCONCLUSIONS: Based on experience in testing this scoring system on 46 articles, the COSMIN checklist with the proposed scoring system seems to be a useful tool for assessing the methodological quality of studies included in systematic reviews of measurement properties.&quot;,&quot;author&quot;:[{&quot;family&quot;:&quot;Terwee&quot;,&quot;given&quot;:&quot;Caroline B&quot;},{&quot;family&quot;:&quot;Mokkink&quot;,&quot;given&quot;:&quot;Lidwine B&quot;},{&quot;family&quot;:&quot;Knol&quot;,&quot;given&quot;:&quot;Dirk L&quot;},{&quot;family&quot;:&quot;Ostelo&quot;,&quot;given&quot;:&quot;Raymond W J G&quot;},{&quot;family&quot;:&quot;Bouter&quot;,&quot;given&quot;:&quot;Lex M&quot;},{&quot;family&quot;:&quot;de Vet&quot;,&quot;given&quot;:&quot;Henrica C W&quot;}],&quot;issued&quot;:{&quot;date-parts&quot;:[[&quot;2012&quot;,&quot;5&quot;,&quot;1&quot;]]},&quot;DOI&quot;:&quot;10.1007/s11136-011-9960-1&quot;,&quot;PMID&quot;:&quot;21732199&quot;,&quot;PMCID&quot;:&quot;PMC3323819&quot;,&quot;citation-label&quot;:&quot;3923829&quot;},{&quot;title&quot;:&quot;Which Oxford Knee Score level represents a satisfactory symptom state after undergoing a total knee replacement?&quot;,&quot;page&quot;:&quot;85-90&quot;,&quot;volume&quot;:&quot;92&quot;,&quot;issue&quot;:&quot;1&quot;,&quot;journalAbbreviation&quot;:&quot;Acta Orthop.&quot;,&quot;id&quot;:&quot;16605761&quot;,&quot;type&quot;:&quot;article-journal&quot;,&quot;container-title&quot;:&quot;Acta Orthopaedica&quot;,&quot;container-title-short&quot;:&quot;Acta Orthop.&quot;,&quot;abstract&quot;:&quot;Background and purpose - Meaningful interpretation of postoperative Oxford Knee Score (OKS) levels is challenging. We established Patient Acceptable Symptoms State (PASS) and Treatment Failure (TF) values for the OKS in patients undergoing primary total knee replacement (TKR) in Denmark.Patients and methods - Data from patients undergoing primary TKR between February 2015 and January 2019 was extracted from the arthroplasty registry at the Copenhagen University Hospital, Hvidovre in Denmark. Data included 3, 12, and 24 months postoperative responses to the OKS and 2 anchor questions asking whether they considered their symptom state to be satisfactory, and if not, whether they considered the treatment to have failed. PASS and TF threshold values were calculated using the adjusted predictive modeling method. Non-parametric bootstrapping was used to derive 95% confidence intervals (CI).Results - Complete 3, 12, and 24 months postoperative data was obtained for 187 of 209 (89%), 884 of 915 (97%), and 575 of 586 (98%) patients, with median ages from 68 to 70 years (59 to 64% female). 72%, 77%, and 79% considered as having satisfactory symptoms, while 6%, 11%, and 11% considered the treatment to have failed, at 3, 12, and 24 months postoperatively, respectively. OKS PASS values (CI) were 27 (26-28), 30 (29-31), and 30 (29-31) at 3, 12, and 24 months postoperatively. TF values were 27 (26-28) and 27 (26-29) at 12 and 24 months postoperatively.Interpretation - The OKS PASS values can be used to guide the interpretation of TKR outcome and support quality assessment in institutional and national registries.&quot;,&quot;author&quot;:[{&quot;family&quot;:&quot;Ingelsrud&quot;,&quot;given&quot;:&quot;Lina H&quot;},{&quot;family&quot;:&quot;Terluin&quot;,&quot;given&quot;:&quot;Berend&quot;},{&quot;family&quot;:&quot;Gromov&quot;,&quot;given&quot;:&quot;Kirill&quot;},{&quot;family&quot;:&quot;Price&quot;,&quot;given&quot;:&quot;Andrew&quot;},{&quot;family&quot;:&quot;Beard&quot;,&quot;given&quot;:&quot;David&quot;},{&quot;family&quot;:&quot;Troelsen&quot;,&quot;given&quot;:&quot;Anders&quot;}],&quot;issued&quot;:{&quot;date-parts&quot;:[[&quot;2021&quot;,&quot;2&quot;]]},&quot;DOI&quot;:&quot;10.1080/17453674.2020.1832304&quot;,&quot;PMID&quot;:&quot;33047623&quot;,&quot;PMCID&quot;:&quot;PMC7919874&quot;,&quot;citation-label&quot;:&quot;16605761&quot;},{&quot;title&quot;:&quot;Proportion of patients reporting acceptable symptoms or treatment failure and their associated KOOS values at 6 to 24 months after anterior cruciate ligament reconstruction: A study from the norwegian knee ligament registry.&quot;,&quot;page&quot;:&quot;1902-1907&quot;,&quot;volume&quot;:&quot;43&quot;,&quot;issue&quot;:&quot;8&quot;,&quot;journalAbbreviation&quot;:&quot;Am. J. Sports Med.&quot;,&quot;id&quot;:&quot;3089258&quot;,&quot;type&quot;:&quot;article-journal&quot;,&quot;container-title&quot;:&quot;The American Journal of Sports Medicine&quot;,&quot;container-title-short&quot;:&quot;Am. J. Sports Med.&quot;,&quot;abstract&quot;:&quot;BACKGROUND: The proportion of patients perceiving their symptoms as either acceptable or as a failure of treatment after anterior cruciate ligament reconstruction (ACLR) is unknown. Commonly used outcome scores such as the Knee injury and Osteoarthritis Outcome Score (KOOS) suffer from poor interpretability, and little is known about which scores represent an acceptable or failed postoperative outcome.PURPOSE: To determine the proportion of patients reporting acceptable symptoms or treatment failure at 6 to 24 months after ACLR and to define KOOS values corresponding to the patients' perceptions of treatment outcome.STUDY DESIGN: Cross-sectional study; Level of evidence, 3.METHODS: In 2012, a total of 1197 patients were randomly extracted from the Norwegian Knee Ligament Registry at 3 postoperative time points: 397 at 6 months, 400 at 12 months, and 400 at 24 months. The inclusion criterion was unilateral primary ACLR. Questions about acceptable symptoms and treatment failure and the KOOS questionnaire were sent to the patients, and those who answered \&quot;yes\&quot; to the acceptable symptoms question were considered to have acceptable symptoms. Patients who answered \&quot;no\&quot; to the same question and \&quot;yes\&quot; to the treatment failure question were considered to have treatment failure. Mean KOOS values and 95% CIs were calculated for each category.RESULTS: A complete data set was obtained from 598 (50%) responders. Fifty-five percent of the patients perceived their symptoms as acceptable at 6-month follow-up versus 66% at 12- to 24-month follow-up. Similarly, 7% at 6-month follow-up perceived their treatment to have failed versus 12% at 12- to 24-month follow-up. Postoperative mean KOOS subscale values ranged from 72 (95% CI, 70-74) to 95 (95% CI, 94-96) for patients with acceptable symptoms and from 28 (95% CI, 22-34) to 71 (95% CI, 65-76) for patients with treatment failure. For both categories, the worst subscale values were seen in the sport and recreation and quality of life subscales and the best in the activities of daily living subscale.CONCLUSION: Only half of the patients at 6 months and about two-thirds at 1 to 2 years perceived their symptoms as acceptable after ACLR. For these patients, KOOS values reflected no problems to mild problems on average, while for patients reporting treatment failure, KOOS values reflected moderate to severe problems.© 2015 The Author(s).&quot;,&quot;author&quot;:[{&quot;family&quot;:&quot;Ingelsrud&quot;,&quot;given&quot;:&quot;Lina H&quot;},{&quot;family&quot;:&quot;Granan&quot;,&quot;given&quot;:&quot;Lars-Petter&quot;},{&quot;family&quot;:&quot;Terwee&quot;,&quot;given&quot;:&quot;Caroline B&quot;},{&quot;family&quot;:&quot;Engebretsen&quot;,&quot;given&quot;:&quot;Lars&quot;},{&quot;family&quot;:&quot;Roos&quot;,&quot;given&quot;:&quot;Ewa M&quot;}],&quot;issued&quot;:{&quot;date-parts&quot;:[[&quot;2015&quot;,&quot;8&quot;]]},&quot;DOI&quot;:&quot;10.1177/0363546515584041&quot;,&quot;PMID&quot;:&quot;25977523&quot;,&quot;citation-label&quot;:&quot;3089258&quot;},{&quot;title&quot;:&quot;Evaluation of clinically relevant states in patient reported outcomes in knee and hip osteoarthritis: the patient acceptable symptom state.&quot;,&quot;page&quot;:&quot;34-37&quot;,&quot;volume&quot;:&quot;64&quot;,&quot;issue&quot;:&quot;1&quot;,&quot;journalAbbreviation&quot;:&quot;Ann. Rheum. Dis.&quot;,&quot;id&quot;:&quot;3089275&quot;,&quot;type&quot;:&quot;article-journal&quot;,&quot;container-title&quot;:&quot;Annals of the Rheumatic Diseases&quot;,&quot;container-title-short&quot;:&quot;Ann. Rheum. Dis.&quot;,&quot;abstract&quot;:&quot;BACKGROUND: The patient acceptable symptom state (PASS) is the value beyond which patients can consider themselves well. This concept can help in interpreting results of clinical trials.OBJECTIVE: To determine the PASS estimate for patients with knee and hip osteoarthritis (OA) by assessing pain, patient's global assessment of disease activity, and functional impairment.METHODS: A 4 week prospective multicentre cohort study of 1362 outpatients with knee or hip OA was carried out. Data on assessment of pain and patient's global assessment of disease, measured on visual analogue scales, and functional impairment, measured on the Western Ontario McMaster Universities Osteoarthritis Index (WOMAC) function subscale, were collected at baseline and final visits. The patients assessed their satisfaction with their current state at the final visit. An anchoring method based on the patient's opinion was used.RESULTS: For patients with knee and hip OA, the estimates of PASS were, respectively, 32.3 and 35.0 mm for pain, 32.0 and 34.6 mm for patient global assessment of disease activity, and 31.0 and 34.4 points for WOMAC function score. The PASS varied moderately across the tertiles of baseline scores but not across age, disease duration, or sex.CONCLUSION: The use of PASS in clinical trials would provide more meaningful results expressed as a proportion of patients in an acceptable symptom state.&quot;,&quot;author&quot;:[{&quot;family&quot;:&quot;Tubach&quot;,&quot;given&quot;:&quot;F&quot;},{&quot;family&quot;:&quot;Ravaud&quot;,&quot;given&quot;:&quot;P&quot;},{&quot;family&quot;:&quot;Baron&quot;,&quot;given&quot;:&quot;G&quot;},{&quot;family&quot;:&quot;Falissard&quot;,&quot;given&quot;:&quot;B&quot;},{&quot;family&quot;:&quot;Logeart&quot;,&quot;given&quot;:&quot;I&quot;},{&quot;family&quot;:&quot;Bellamy&quot;,&quot;given&quot;:&quot;N&quot;},{&quot;family&quot;:&quot;Bombardier&quot;,&quot;given&quot;:&quot;C&quot;},{&quot;family&quot;:&quot;Felson&quot;,&quot;given&quot;:&quot;D&quot;},{&quot;family&quot;:&quot;Hochberg&quot;,&quot;given&quot;:&quot;M&quot;},{&quot;family&quot;:&quot;van der Heijde&quot;,&quot;given&quot;:&quot;D&quot;},{&quot;family&quot;:&quot;Dougados&quot;,&quot;given&quot;:&quot;M&quot;}],&quot;issued&quot;:{&quot;date-parts&quot;:[[&quot;2005&quot;,&quot;1&quot;]]},&quot;DOI&quot;:&quot;10.1136/ard.2004.023028&quot;,&quot;PMID&quot;:&quot;15130902&quot;,&quot;PMCID&quot;:&quot;PMC1755171&quot;,&quot;citation-label&quot;:&quot;3089275&quot;},{&quot;title&quot;:&quot;Comparative fit indexes in structural models.&quot;,&quot;page&quot;:&quot;238-246&quot;,&quot;volume&quot;:&quot;107&quot;,&quot;issue&quot;:&quot;2&quot;,&quot;journalAbbreviation&quot;:&quot;Psychol. Bull.&quot;,&quot;id&quot;:&quot;743025&quot;,&quot;type&quot;:&quot;article-journal&quot;,&quot;container-title&quot;:&quot;Psychological Bulletin&quot;,&quot;container-title-short&quot;:&quot;Psychol. Bull.&quot;,&quot;abstract&quot;:&quot;Normed and nonnormed fit indexes are frequently used as adjuncts to chi-square statistics for evaluating the fit of a structural model. A drawback of existing indexes is that they estimate no known population parameters. A new coefficient is proposed to summarize the relative reduction in the noncentrality parameters of two nested models. Two estimators of the coefficient yield new normed (CFI) and nonnormed (FI) fit indexes. CFI avoids the underestimation of fit often noted in small samples for Bentler and Bonett's (1980) normed fit index (NFI). FI is a linear function of Bentler and Bonett's non-normed fit index (NNFI) that avoids the extreme underestimation and overestimation often found in NNFI. Asymptotically, CFI, FI, NFI, and a new index developed by Bollen are equivalent measures of comparative fit, whereas NNFI measures relative fit by comparing noncentrality per degree of freedom. All of the indexes are generalized to permit use of Wald and Lagrange multiplier statistics. An example illustrates the behavior of these indexes under conditions of correct specification and misspecification. The new fit indexes perform very well at all sample sizes.&quot;,&quot;author&quot;:[{&quot;family&quot;:&quot;Bentler&quot;,&quot;given&quot;:&quot;P M&quot;}],&quot;issued&quot;:{&quot;date-parts&quot;:[[&quot;1990&quot;,&quot;3&quot;]]},&quot;DOI&quot;:&quot;10.1037/0033-2909.107.2.238&quot;,&quot;PMID&quot;:&quot;2320703&quot;,&quot;citation-label&quot;:&quot;743025&quot;},{&quot;title&quot;:&quot;A REL I AB I L I TY COEFFICIENT FOR MAXIMUM L I KEL I HOOD FACTOR ANALYSIS*&quot;,&quot;id&quot;:&quot;16605714&quot;,&quot;type&quot;:&quot;article-journal&quot;,&quot;author&quot;:[{&quot;family&quot;:&quot;TUCKER&quot;,&quot;given&quot;:&quot;LEDYARD&quot;},{&quot;family&quot;:&quot;LEWIS&quot;,&quot;given&quot;:&quot;CHARLES&quot;}],&quot;issued&quot;:{&quot;date-parts&quot;:[[]]},&quot;citation-label&quot;:&quot;16605714&quot;},{&quot;title&quot;:&quot;Cutoff criteria for fit indexes in covariance structure analysis: Conventional criteria versus new alternatives&quot;,&quot;page&quot;:&quot;1-55&quot;,&quot;volume&quot;:&quot;6&quot;,&quot;issue&quot;:&quot;1&quot;,&quot;journalAbbreviation&quot;:&quot;Structural Equation Modeling: A Multidisciplinary Journal&quot;,&quot;id&quot;:&quot;1476537&quot;,&quot;type&quot;:&quot;article-journal&quot;,&quot;container-title&quot;:&quot;Structural Equation Modeling: A Multidisciplinary Journal&quot;,&quot;container-title-short&quot;:&quot;Structural Equation Modeling: A Multidisciplinary Journal&quot;,&quot;abstract&quot;:&quot;This article examines the adequacy of the “rules of thumb” conventional cutoff criteria and several new alternatives for various fit indexes used to evaluate model fit in practice. Using a 2‐index presentation strategy, which includes using the maximum likelihood (ML)‐based standardized root mean squared residual (SRMR) and supplementing it with either Tucker‐Lewis Index (TLI), Bollen's (1989) Fit Index (BL89), Relative Noncentrality Index (RNI), Comparative Fit Index (CFI), Gamma Hat, McDonald's Centrality Index (Mc), or root mean squared error of approximation (RMSEA), various combinations of cutoff values from selected ranges of cutoff criteria for the ML‐based SRMR and a given supplemental fit index were used to calculate rejection rates for various types of true‐population and misspecified models; that is, models with misspecified factor covariance(s) and models with misspecified factor loading(s). The results suggest that, for the ML method, a cutoff value close to .95 for TLI, BL89, CFI, RNI, and Gamma Hat; a cutoff value close to .90 for Mc; a cutoff value close to .08 for SRMR; and a cutoff value close to .06 for RMSEA are needed before we can conclude that there is a relatively good fit between the hypothesized model and the observed data. Furthermore, the 2‐index presentation strategy is required to reject reasonable proportions of various types of true‐population and misspecified models. Finally, using the proposed cutoff criteria, the ML‐based TLI, Mc, and RMSEA tend to overreject true‐population models at small sample size and thus are less preferable when sample size is small.&quot;,&quot;author&quot;:[{&quot;family&quot;:&quot;Hu&quot;,&quot;given&quot;:&quot;Li‐tze&quot;},{&quot;family&quot;:&quot;Bentler&quot;,&quot;given&quot;:&quot;Peter M.&quot;}],&quot;issued&quot;:{&quot;date-parts&quot;:[[&quot;1999&quot;,&quot;1&quot;]]},&quot;DOI&quot;:&quot;10.1080/10705519909540118&quot;,&quot;citation-label&quot;:&quot;1476537&quot;},{&quot;title&quot;:&quot;The effect of different methods of stability assessment on fixation rate and complications in supination external rotation (SER) 2/4 ankle fractures.&quot;,&quot;page&quot;:&quot;86-90&quot;,&quot;volume&quot;:&quot;21&quot;,&quot;issue&quot;:&quot;2&quot;,&quot;journalAbbreviation&quot;:&quot;Foot Ankle Surg.&quot;,&quot;id&quot;:&quot;16605923&quot;,&quot;type&quot;:&quot;article-journal&quot;,&quot;container-title&quot;:&quot;Foot and ankle surgery : official journal of the European Society of Foot and Ankle Surgeons&quot;,&quot;container-title-short&quot;:&quot;Foot Ankle Surg.&quot;,&quot;abstract&quot;:&quot;BACKGROUND: Distinguishing stable supination-external rotation (SER) 2 from unstable SER 4 ankle fractures, using standard radiographs, is controversial. Examination under anaesthesia (EUA), gravity-stress (GS) and weight-bearing (WB) radiographs can aid surgical decision-making. We evaluated the effect of three methods of fracture stability assessment.METHODS: Radiographs and case-notes of 312 consecutive patients with SER 2/4 fractures were reviewed. We recorded ankle stability assessment (plain film (PF) and EUA vs. GS vs. WB radiographs), management (conservative vs. operative), unplanned surgery and complications.RESULTS: Forty five percent assessed with GS underwent surgery (6% for PF/EUA, 4% for WB; P=0.0001). Amongst GS patients, 11% underwent additional surgery (0.1% PF/EUA, 0% WB; P=0.0001). Complications occurred in 2% of the WB group (8% for PF/EUA, 22% for GS; P=0.007).CONCLUSION: This study associates GS assessment with higher rates of surgery and complications. Subsequent studies may determine the longer term effect stability assessments have on post-traumatic arthritis.Copyright © 2014 European Foot and Ankle Society. Published by Elsevier Ltd. All rights reserved.&quot;,&quot;author&quot;:[{&quot;family&quot;:&quot;Dawe&quot;,&quot;given&quot;:&quot;Edward J C&quot;},{&quot;family&quot;:&quot;Shafafy&quot;,&quot;given&quot;:&quot;Roozbeh&quot;},{&quot;family&quot;:&quot;Quayle&quot;,&quot;given&quot;:&quot;Jonathan&quot;},{&quot;family&quot;:&quot;Gougoulias&quot;,&quot;given&quot;:&quot;Nikolaos&quot;},{&quot;family&quot;:&quot;Wee&quot;,&quot;given&quot;:&quot;Alexander&quot;},{&quot;family&quot;:&quot;Sakellariou&quot;,&quot;given&quot;:&quot;Anthony&quot;}],&quot;issued&quot;:{&quot;date-parts&quot;:[[&quot;2015&quot;,&quot;6&quot;]]},&quot;DOI&quot;:&quot;10.1016/j.fas.2014.09.010&quot;,&quot;PMID&quot;:&quot;25937406&quot;,&quot;citation-label&quot;:&quot;16605923&quot;},{&quot;title&quot;:&quot;Alternative Ways of Assessing Model Fit&quot;,&quot;page&quot;:&quot;230-258&quot;,&quot;volume&quot;:&quot;21&quot;,&quot;issue&quot;:&quot;2&quot;,&quot;journalAbbreviation&quot;:&quot;Sociol Methods Res&quot;,&quot;id&quot;:&quot;16610795&quot;,&quot;type&quot;:&quot;article-journal&quot;,&quot;container-title&quot;:&quot;Sociological methods &amp; research&quot;,&quot;container-title-short&quot;:&quot;Sociol Methods Res&quot;,&quot;author&quot;:[{&quot;family&quot;:&quot;Browne&quot;,&quot;given&quot;:&quot;Michael W.&quot;},{&quot;family&quot;:&quot;Cudeck&quot;,&quot;given&quot;:&quot;Robert&quot;}],&quot;issued&quot;:{&quot;date-parts&quot;:[[&quot;1992&quot;,&quot;11&quot;]]},&quot;citation-label&quot;:&quot;16610795&quot;},{&quot;title&quot;:&quot;Fractures of the ankle. II. Combined experimental-surgical and experimental-roentgenologic investigations.&quot;,&quot;page&quot;:&quot;957-985&quot;,&quot;volume&quot;:&quot;60&quot;,&quot;issue&quot;:&quot;5&quot;,&quot;journalAbbreviation&quot;:&quot;Arch. Surg.&quot;,&quot;id&quot;:&quot;8492988&quot;,&quot;type&quot;:&quot;article-journal&quot;,&quot;container-title&quot;:&quot;Archives of surgery&quot;,&quot;container-title-short&quot;:&quot;Arch. Surg.&quot;,&quot;author&quot;:[{&quot;family&quot;:&quot;Lauge-Hansen&quot;,&quot;given&quot;:&quot;N&quot;}],&quot;issued&quot;:{&quot;date-parts&quot;:[[&quot;1950&quot;,&quot;5&quot;]]},&quot;PMID&quot;:&quot;15411319&quot;,&quot;citation-label&quot;:&quot;8492988&quot;},{&quot;title&quot;:&quot;Prevention of infection in the treatment of one thousand and twenty-five open fractures of long bones: retrospective and prospective analyses.&quot;,&quot;page&quot;:&quot;453-458&quot;,&quot;volume&quot;:&quot;58&quot;,&quot;issue&quot;:&quot;4&quot;,&quot;journalAbbreviation&quot;:&quot;J. Bone Joint Surg. Am.&quot;,&quot;id&quot;:&quot;3193922&quot;,&quot;type&quot;:&quot;article-journal&quot;,&quot;container-title&quot;:&quot;The Journal of Bone and Joint Surgery. American Volume&quot;,&quot;container-title-short&quot;:&quot;J. Bone Joint Surg. Am.&quot;,&quot;abstract&quot;:&quot;In 673 open fractures of long bones (tibia and fibula, femur, radius and ulna, and humerus) treated from 1955 to 1968 at Hennepin County Medical Center, Minneapolis, Minnesota, and analyzed retrospectively, the infection rate was 12 per cent from 1955 to 1960 and 5 per cent from 1961 to 1968. In a prospective study from 1969 to 1973, 352 patients were managed as follows: débridement and copious irrigation, primary closure for Type I and II fractures and secondary closure for Type III fractures, no primary internal fixation except in the presence of associated vascular injuries, cultures of all wounds, and oxacillin-ampicillin before surgery and for three days postoperatively. In 158 of the patients in the prospective study the initial wound cultures revealed bacterial growth in 70.3 per cent and the infection rate was 2.5 per cent. Sensitivity studies suggested that cephalosporin is currently the prophylactic antibiotic of choice. For the Type III open fractures (severe soft-tissue injury, segmental fracture, or traumatic amputation), the infection rates were 44 per cent in the retrospective study and 9 per cent in the prospective study.&quot;,&quot;author&quot;:[{&quot;family&quot;:&quot;Gustilo&quot;,&quot;given&quot;:&quot;R B&quot;},{&quot;family&quot;:&quot;Anderson&quot;,&quot;given&quot;:&quot;J T&quot;}],&quot;issued&quot;:{&quot;date-parts&quot;:[[&quot;1976&quot;,&quot;6&quot;]]},&quot;PMID&quot;:&quot;773941&quot;,&quot;citation-label&quot;:&quot;3193922&quot;},{&quot;title&quot;:&quot;Posterior malleolar ankle fractures: an effort at improving outcomes.&quot;,&quot;page&quot;:&quot;e0058&quot;,&quot;volume&quot;:&quot;4&quot;,&quot;issue&quot;:&quot;2&quot;,&quot;journalAbbreviation&quot;:&quot;JB JS Open Access&quot;,&quot;id&quot;:&quot;16610910&quot;,&quot;type&quot;:&quot;article-journal&quot;,&quot;container-title&quot;:&quot;JB &amp; JS open access&quot;,&quot;container-title-short&quot;:&quot;JB JS Open Access&quot;,&quot;abstract&quot;:&quot;BACKGROUND: There is increasing acceptance that the clinical outcomes following posterior malleolar fractures are less than satisfactory. We report our results of posterior malleolar fracture management based on the classification by Mason and Molloy.METHODS: All fractures were classified on the basis of computed tomographic (CT) scans obtained preoperatively. This dictated the treatment algorithm. Type-1 fractures underwent syndesmotic fixation. Type-2A fractures underwent open reduction and internal fixation through a posterolateral incision, type-2B fractures underwent open reduction and internal fixation through either a posteromedial incision or a combination of a posterolateral with a medial-posteromedial incision, and type-3 fractures underwent open reduction and internal fixation through a posteromedial incision.RESULTS: Patient-related outcome measures were obtained in 50 patients with at least 1-year follow-up. According to the Mason and Molloy classification, there were 17 type-1 fractures, 12 type-2A fractures, 10 type-2B fractures, and 11 type-3 fractures. The mean Olerud-Molander Ankle Score was 75.9 points (95% confidence interval [CI], 66.4 to 85.3 points) for patients with type-1 fractures, 75.0 points (95% CI, 61.5 to 88.5 points) for patients with type-2A fractures, 74.0 points (95% CI, 64.2 to 83.8 points) for patients with type-2B fractures, and 70.5 points (95% CI, 59.0 to 81.9 points) for patients with type-3 fractures.CONCLUSIONS: We have been able to demonstrate an improvement in the Olerud-Molander Ankle Score for all posterior malleolar fractures with the treatment algorithm applied using the Mason and Molloy classification. Mason classification type-3 fractures have marginally poorer outcomes, which correlates with a more severe injury; however, this did not reach significance.LEVEL OF EVIDENCE: Therapeutic Level IV. See Instructions for Authors for a complete description of levels of evidence.&quot;,&quot;author&quot;:[{&quot;family&quot;:&quot;Mason&quot;,&quot;given&quot;:&quot;Lyndon William&quot;},{&quot;family&quot;:&quot;Kaye&quot;,&quot;given&quot;:&quot;Angus&quot;},{&quot;family&quot;:&quot;Widnall&quot;,&quot;given&quot;:&quot;James&quot;},{&quot;family&quot;:&quot;Redfern&quot;,&quot;given&quot;:&quot;James&quot;},{&quot;family&quot;:&quot;Molloy&quot;,&quot;given&quot;:&quot;Andrew&quot;}],&quot;issued&quot;:{&quot;date-parts&quot;:[[&quot;2019&quot;,&quot;6&quot;,&quot;7&quot;]]},&quot;DOI&quot;:&quot;10.2106/JBJS.OA.18.00058&quot;,&quot;PMID&quot;:&quot;31334465&quot;,&quot;PMCID&quot;:&quot;PMC6613847&quot;,&quot;citation-label&quot;:&quot;16610910&quot;},{&quot;title&quot;:&quot;PROMIS for orthopaedic outcomes measurement.&quot;,&quot;page&quot;:&quot;744-749&quot;,&quot;volume&quot;:&quot;24&quot;,&quot;issue&quot;:&quot;11&quot;,&quot;journalAbbreviation&quot;:&quot;J. Am. Acad. Orthop. Surg.&quot;,&quot;id&quot;:&quot;8052745&quot;,&quot;type&quot;:&quot;article-journal&quot;,&quot;container-title&quot;:&quot;The Journal of the American Academy of Orthopaedic Surgeons&quot;,&quot;container-title-short&quot;:&quot;J. Am. Acad. Orthop. Surg.&quot;,&quot;abstract&quot;:&quot;Patient-reported outcome measures have become important tools for assessing health status in a variety of patient populations. Many historically or commonly used patient-reported outcome measures in orthopaedics are narrow in scope and are limited by the burden associated with their administration, making them useful only for specific populations. The Patient-Reported Outcomes Measurement Information System (PROMIS) was developed to overcome these limitations. The system was developed using item response theory, which allows for reliable and efficient estimation of underlying health traits using targeted item banks to assess physical function in the upper and lower extremities. PROMIS has been validated in patient populations with orthopaedic disorders of the foot and ankle, upper extremity, and spine and has demonstrated a marked improvement in measurement characteristics and reduced patient and administrative burden. PROMIS Physical Function measures are useful for assessing orthopaedic outcomes and are superior to legacy measures in several key populations.&quot;,&quot;author&quot;:[{&quot;family&quot;:&quot;Brodke&quot;,&quot;given&quot;:&quot;Dane Jensen&quot;},{&quot;family&quot;:&quot;Saltzman&quot;,&quot;given&quot;:&quot;Charles L&quot;},{&quot;family&quot;:&quot;Brodke&quot;,&quot;given&quot;:&quot;Darrel Scott&quot;}],&quot;issued&quot;:{&quot;date-parts&quot;:[[&quot;2016&quot;,&quot;11&quot;]]},&quot;DOI&quot;:&quot;10.5435/JAAOS-D-15-00404&quot;,&quot;PMID&quot;:&quot;27661391&quot;,&quot;citation-label&quot;:&quot;8052745&quot;},{&quot;title&quot;:&quot;Supination-external rotation ankle fractures: stability a key issue.&quot;,&quot;page&quot;:&quot;243-251&quot;,&quot;volume&quot;:&quot;468&quot;,&quot;issue&quot;:&quot;1&quot;,&quot;journalAbbreviation&quot;:&quot;Clin. Orthop. Relat. Res.&quot;,&quot;id&quot;:&quot;8493016&quot;,&quot;type&quot;:&quot;article-journal&quot;,&quot;container-title&quot;:&quot;Clinical Orthopaedics and Related Research&quot;,&quot;container-title-short&quot;:&quot;Clin. Orthop. Relat. Res.&quot;,&quot;abstract&quot;:&quot;UNLABELLED: Stability is a key issue in treating supination-external rotation ankle fractures, but we do not know how it affects functional outcome and subsequent development of radiographic osteoarthritis. With a systematic literature review, we identified 11 clinical studies (Level IV evidence) published in peer-reviewed journals reporting on at least 10 ankles. Followup was at least 1 year. Two authors independently scored the quality of the studies using the modified Coleman Methodology Score; the mean score was 58 of 100, with substantial agreement between the two examiners. Four studies used a general health assessment questionnaire. Several literature limitations (debatable fracture stability criteria, few cohort studies with heterogeneous methodology, small patient numbers and limited followup in some studies) do not allow definitive conclusions. Of 213 stable fractures treated nonoperatively, 2.8% of ankles had radiographic osteoarthritis develop (18 years' mean followup) and 84% were free of symptoms. The incidence of radiographic osteoarthritis in 420 unstable fractures treated operatively was 20.9% at 5.5 years versus 65.5% at 6.8 years in 137 ankles treated nonoperatively. The complication rate in 355 operatively treated fractures was 10.4%. A medial malleolus fracture, female gender, older age, higher American Society of Anesthesiologists grade, smoking, and lower educational level negatively influenced general health outcome, physical function, and pain.LEVEL OF EVIDENCE: Level IV, therapeutic study. See Guidelines for Authors for a complete description of levels of evidence.&quot;,&quot;author&quot;:[{&quot;family&quot;:&quot;Gougoulias&quot;,&quot;given&quot;:&quot;Nikolaos&quot;},{&quot;family&quot;:&quot;Khanna&quot;,&quot;given&quot;:&quot;Anil&quot;},{&quot;family&quot;:&quot;Sakellariou&quot;,&quot;given&quot;:&quot;Anthony&quot;},{&quot;family&quot;:&quot;Maffulli&quot;,&quot;given&quot;:&quot;Nicola&quot;}],&quot;issued&quot;:{&quot;date-parts&quot;:[[&quot;2010&quot;,&quot;1&quot;]]},&quot;DOI&quot;:&quot;10.1007/s11999-009-0988-2&quot;,&quot;PMID&quot;:&quot;19618247&quot;,&quot;PMCID&quot;:&quot;PMC2795847&quot;,&quot;citation-label&quot;:&quot;8493016&quot;},{&quot;title&quot;:&quot;Effects of fibular plate fixation on ankle stability in a weber B fracture model with partial deltoid ligament sectioning.&quot;,&quot;page&quot;:&quot;641-647&quot;,&quot;volume&quot;:&quot;45&quot;,&quot;issue&quot;:&quot;6&quot;,&quot;journalAbbreviation&quot;:&quot;Foot Ankle Int.&quot;,&quot;id&quot;:&quot;17016014&quot;,&quot;type&quot;:&quot;article-journal&quot;,&quot;container-title&quot;:&quot;Foot &amp; Ankle International&quot;,&quot;container-title-short&quot;:&quot;Foot Ankle Int.&quot;,&quot;abstract&quot;:&quot;BACKGROUND: Weber B fractures with concomitant deltoid ligament injury have traditionally been operated with open reduction and internal fixation of the fibular fracture. More recently, clinical studies have suggested that some fractures have concomitant partial deltoid ligament injury with the deep posterior tibiotalar ligament intact (SER4a), allowing for nonoperative treatment in this subgroup. This study explores whether plate fixation of the fibula improves ankle stability in an SER4a injury model. And if so, does it restore native ankle stability?METHODS: Fifteen cadaver ankle specimens were tested in 3 states using an industrial robot: intact joint, SER4a models without plate fixation of the fibula, and SER4a models with plate fixation of the fibula. The robot measured ankle stability in lateral translation, valgus, and internal and external rotation in 3 talocrural joint positions: 10 degrees dorsiflexion, neutral, and 20 degrees plantar flexion. Furthermore, fluoroscopic mortise view radiographs were taken to measure isolated talar shift and talar tilt.RESULTS: The talar shift and tilt tests showed no differences between the SER4a injury model with and without fibular plate fixation at neutral ankle position with a mean difference of -0.16 mm (95% CI -0.33 to 0.01 mm, P = .071) for talar shift and -0.15 degrees (95% CI -0.01 to 0.30 degrees, P = .068) for talar tilt. However, plate fixation increased external rotation stability, with mean improvements ranging from -7.43 to -9.52 degrees (P &lt;  .001 for all comparisons), but did not restore intact ankle stability. For internal rotation, plate fixation resulted in minor differences.CONCLUSION: The results of this suggest that plate fixation of the fibular fracture primarily improves external rotation stability but does not substantially improve lateral translation, valgus, or internal rotation stability in SER4a injury models. In this robotic cadaver model, fibular plate fixation did not fully restore intact ankle stability after simulated SER4a injury.CLINICAL RELEVANCE: This study offers insights into the effects of fibular plate fixation on Weber B/SER4a injury models and may assist informed decisions when selecting treatments for these types of fractures.&quot;,&quot;author&quot;:[{&quot;family&quot;:&quot;Gregersen&quot;,&quot;given&quot;:&quot;Martin G&quot;},{&quot;family&quot;:&quot;Dalen&quot;,&quot;given&quot;:&quot;Andreas F&quot;},{&quot;family&quot;:&quot;Skrede&quot;,&quot;given&quot;:&quot;Aleksander L&quot;},{&quot;family&quot;:&quot;Bjelland&quot;,&quot;given&quot;:&quot;Øystein&quot;},{&quot;family&quot;:&quot;Nilsen&quot;,&quot;given&quot;:&quot;Fredrik A&quot;},{&quot;family&quot;:&quot;Molund&quot;,&quot;given&quot;:&quot;Marius&quot;}],&quot;issued&quot;:{&quot;date-parts&quot;:[[&quot;2024&quot;,&quot;6&quot;]]},&quot;DOI&quot;:&quot;10.1177/10711007241235903&quot;,&quot;PMID&quot;:&quot;38501723&quot;,&quot;PMCID&quot;:&quot;PMC11165943&quot;,&quot;citation-label&quot;:&quot;17016014&quot;},{&quot;title&quot;:&quot;OLERUD-MOLANDER ANKLE SCORE: EN NORSK OVERSETTELSE OG KRYSSKULTURELL ADAPTASJON&quot;,&quot;publisher&quot;:&quot;Nof&quot;,&quot;page&quot;:&quot;84&quot;,&quot;event&quot;:&quot;Norsk ortopedisk forenings høstmøte 2022&quot;,&quot;id&quot;:&quot;17204320&quot;,&quot;type&quot;:&quot;paper-conference&quot;,&quot;author&quot;:[{&quot;family&quot;:&quot;Paulsen&quot;,&quot;given&quot;:&quot;Aksel&quot;},{&quot;family&quot;:&quot;Djuv&quot;,&quot;given&quot;:&quot;Ane&quot;},{&quot;family&quot;:&quot;Garratt&quot;,&quot;given&quot;:&quot;Andrew Malcolm&quot;},{&quot;family&quot;:&quot;Nguyen&quot;,&quot;given&quot;:&quot;Michael Quan&quot;}],&quot;issued&quot;:{&quot;date-parts&quot;:[[&quot;2022&quot;,&quot;10&quot;,&quot;1&quot;]]},&quot;publisher-place&quot;:&quot;Hostmoteboka&quot;,&quot;event-place&quot;:&quot;Hostmoteboka&quot;,&quot;citation-label&quot;:&quot;17204320&quot;},{&quot;title&quot;:&quot;Weightbearing vs Gravity Stress Radiographs for Stability Evaluation of Supination-External Rotation Fractures of the Ankle&quot;,&quot;page&quot;:&quot;736-744&quot;,&quot;volume&quot;:&quot;38&quot;,&quot;issue&quot;:&quot;7&quot;,&quot;journalAbbreviation&quot;:&quot;Foot Ankle Int.&quot;,&quot;id&quot;:&quot;8486400&quot;,&quot;type&quot;:&quot;article-journal&quot;,&quot;container-title&quot;:&quot;Foot &amp; Ankle International&quot;,&quot;container-title-short&quot;:&quot;Foot Ankle Int.&quot;,&quot;author&quot;:[{&quot;family&quot;:&quot;Seidel&quot;,&quot;given&quot;:&quot;Angela&quot;},{&quot;family&quot;:&quot;Krause&quot;,&quot;given&quot;:&quot;Fabian&quot;},{&quot;family&quot;:&quot;Weber&quot;,&quot;given&quot;:&quot;Martin&quot;}],&quot;issued&quot;:{&quot;date-parts&quot;:[[&quot;2017&quot;,&quot;7&quot;]]},&quot;DOI&quot;:&quot;10.1177/1071100717702589&quot;,&quot;citation-label&quot;:&quot;8486400&quot;},{&quot;title&quot;:&quot;Long-term outcome after 1822 operatively treated ankle fractures: a systematic review of the literature.&quot;,&quot;page&quot;:&quot;119-127&quot;,&quot;volume&quot;:&quot;42&quot;,&quot;issue&quot;:&quot;2&quot;,&quot;journalAbbreviation&quot;:&quot;Injury&quot;,&quot;id&quot;:&quot;6894833&quot;,&quot;type&quot;:&quot;article-journal&quot;,&quot;container-title&quot;:&quot;Injury&quot;,&quot;container-title-short&quot;:&quot;Injury&quot;,&quot;author&quot;:[{&quot;family&quot;:&quot;Stufkens&quot;,&quot;given&quot;:&quot;Sjoerd A S&quot;},{&quot;family&quot;:&quot;van den Bekerom&quot;,&quot;given&quot;:&quot;Michel P J&quot;},{&quot;family&quot;:&quot;Kerkhoffs&quot;,&quot;given&quot;:&quot;Gino M M J&quot;},{&quot;family&quot;:&quot;Hintermann&quot;,&quot;given&quot;:&quot;Beat&quot;},{&quot;family&quot;:&quot;van Dijk&quot;,&quot;given&quot;:&quot;C Niek&quot;}],&quot;issued&quot;:{&quot;date-parts&quot;:[[&quot;2011&quot;,&quot;2&quot;]]},&quot;DOI&quot;:&quot;10.1016/j.injury.2010.04.006&quot;,&quot;PMID&quot;:&quot;20444447&quot;,&quot;citation-label&quot;:&quot;6894833&quot;},{&quot;title&quot;:&quot;Salvage arthrodesis after failed ankle replacement: surgical decision making.&quot;,&quot;page&quot;:&quot;725-740&quot;,&quot;volume&quot;:&quot;17&quot;,&quot;issue&quot;:&quot;4&quot;,&quot;journalAbbreviation&quot;:&quot;Foot Ankle Clin.&quot;,&quot;id&quot;:&quot;17379713&quot;,&quot;type&quot;:&quot;article-journal&quot;,&quot;container-title&quot;:&quot;Foot and Ankle Clinics&quot;,&quot;container-title-short&quot;:&quot;Foot Ankle Clin.&quot;,&quot;abstract&quot;:&quot;Fusion remains the primary technique to salvage the failed total ankle. Fusions present a daunting challenge because of the large bone defect left by the explanted arthroplasty components and the difficulty obtaining stable fixation. Limiting the fusion to the tibiotalar joint preserves the essential motion of the hindfoot. However, because of loss of talar bone stock, it is often necessary to include the subtalar joint in a tibiotalocalcaneal fusion. This article discusses how to determine whether an isolated ankle or ankle-hindfoot fusion is indicated and presents surgical techniques for filling the bone defect and achieving stable internal fixation.&quot;,&quot;author&quot;:[{&quot;family&quot;:&quot;Berkowitz&quot;,&quot;given&quot;:&quot;Mark J&quot;},{&quot;family&quot;:&quot;Sanders&quot;,&quot;given&quot;:&quot;Roy W&quot;},{&quot;family&quot;:&quot;Walling&quot;,&quot;given&quot;:&quot;Arthur K&quot;}],&quot;issued&quot;:{&quot;date-parts&quot;:[[&quot;2012&quot;,&quot;12&quot;]]},&quot;DOI&quot;:&quot;10.1016/j.fcl.2012.08.009&quot;,&quot;PMID&quot;:&quot;23297436&quot;,&quot;citation-label&quot;:&quot;17379713&quot;},{&quot;title&quot;:&quot;High-Energy Transsyndesmotic Ankle Fracture Dislocation-Does Deltoid Ligament Repair Influence the Progression of Posttraumatic Arthritis in Logsplitter Injuries?&quot;,&quot;page&quot;:&quot;615-621&quot;,&quot;volume&quot;:&quot;38&quot;,&quot;issue&quot;:&quot;11&quot;,&quot;journalAbbreviation&quot;:&quot;J. Orthop. Trauma&quot;,&quot;id&quot;:&quot;17402262&quot;,&quot;type&quot;:&quot;article-journal&quot;,&quot;container-title&quot;:&quot;Journal of Orthopaedic Trauma&quot;,&quot;container-title-short&quot;:&quot;J. Orthop. Trauma&quot;,&quot;abstract&quot;:&quot;OBJECTIVE: To determine the effect of deltoid ligament repair on the development of posttraumatic arthritis in logsplitter ankle injuries.DESIGN: Retrospective cohort.SETTING: Academic, Level I trauma center.PATIENT SELECTION CRITERIA: Patients ≥18 years of age with logsplitter injuries (OTA/AO 44B, 44C) treated with open reduction internal fixation (ORIF) with or without deltoid ligament repair from January 2008 to October 2021.OUTCOME MEASURES AND COMPARISON: The rate of posttraumatic arthritis (PTOA) development at the final follow-up (minimum 6 months) after ORIF was evaluated using the Kellgren-Lawrence scale. The achievement of acceptable reduction indicated by articular reduction &lt; 2 mm, and a medial clear space ≤4 mm was assessed at 6 weeks postoperatively with weight-bearing radiographs. The effect of deltoid ligament repair on the development of PTOA was investigated.RESULTS: Fifty-nine patients aged 49.1 ± 17.2 years met inclusion criteria with a mean follow-up of 16.6 months (range = 6 to 96). Twenty-six of 59 patients (44%) had developed PTOA at the final follow-up. Acceptable reduction was achieved in 83.1% (49/59) of fractures. The acceptable reduction rate in fractures undergoing deltoid ligament repair was 100% versus 78% in those without deltoid ligament repair (13/13 vs. 36/46, P = 0.017). The rate of PTOA development was significantly lower in patients who underwent deltoid ligament repair (15%) than those who did not (52%), P = 0.026. Patients who underwent deltoid ligament repair had a significantly reduced rate of PTOA development leading to arthrodesis compared with those who did not (0% vs. 17%, P = 0.013).CONCLUSIONS: Logsplitter injuries resulted in a high rate of development of posttraumatic arthritis. An acceptable reduction is required to minimize the risk of development of PTOA and progression to arthrodesis. Deltoid ligament repair during ORIF may facilitate acceptable reduction and decrease the rate of PTOA and progression to arthrodesis in these injuries.LEVEL OF EVIDENCE: Prognostic Level III. See Instructions for Authors for a complete description of levels of evidence.Copyright © 2024 Wolters Kluwer Health, Inc. All rights reserved.&quot;,&quot;author&quot;:[{&quot;family&quot;:&quot;Sogbein&quot;,&quot;given&quot;:&quot;Olawale A&quot;},{&quot;family&quot;:&quot;Saad&quot;,&quot;given&quot;:&quot;Lorenzo&quot;},{&quot;family&quot;:&quot;Barton&quot;,&quot;given&quot;:&quot;Kristen I&quot;},{&quot;family&quot;:&quot;Halai&quot;,&quot;given&quot;:&quot;Mansur&quot;},{&quot;family&quot;:&quot;Sanders&quot;,&quot;given&quot;:&quot;David W&quot;},{&quot;family&quot;:&quot;Lawendy&quot;,&quot;given&quot;:&quot;Abdel Rahman&quot;},{&quot;family&quot;:&quot;MacLeod&quot;,&quot;given&quot;:&quot;Mark&quot;},{&quot;family&quot;:&quot;Del Balso&quot;,&quot;given&quot;:&quot;Christopher&quot;}],&quot;issued&quot;:{&quot;date-parts&quot;:[[&quot;2024&quot;,&quot;11&quot;,&quot;1&quot;]]},&quot;DOI&quot;:&quot;10.1097/BOT.0000000000002877&quot;,&quot;PMID&quot;:&quot;39078138&quot;,&quot;citation-label&quot;:&quot;17402262&quot;},{&quot;title&quot;:&quot;The role of deltoid ligament repair in ankle fractures with syndesmotic instability: A systematic review.&quot;,&quot;page&quot;:&quot;132-139&quot;,&quot;volume&quot;:&quot;60&quot;,&quot;issue&quot;:&quot;1&quot;,&quot;journalAbbreviation&quot;:&quot;J. Foot Ankle Surg.&quot;,&quot;id&quot;:&quot;15757907&quot;,&quot;type&quot;:&quot;article-journal&quot;,&quot;container-title&quot;:&quot;The Journal of Foot and Ankle Surgery&quot;,&quot;container-title-short&quot;:&quot;J. Foot Ankle Surg.&quot;,&quot;abstract&quot;:&quot;Ankle fractures are the fourth most common fracture requiring surgical management. The deltoid ligament is a primary ankle stabilizer against valgus forces. It is frequently ruptured in ankle fractures; however, there is currently no consensus regarding repair. A systematic database search was conducted with Medline, PubMed, and Embase for relevant studies discussing patients with ankle fractures involving deltoid ligament rupture and repair. Screening, quality assessment, and data extraction were performed independently and in duplicate. Data extracted included pain, range of motion (ROM), function, medial clear space (MCS), syndesmotic malreduction, and complications. After screening, 9 eligible studies from 1990 to 2018 were included (N = 508). Compared to nonrepair groups, deltoid ligament repair patients had lower syndesmotic malreduction rates (0%-9% vs 20%-35%, p ≤ .05), fewer implant removals (5.8% vs 41% p ≤ .05), and longer operating time by 16-20 minutes (p ≤ .05). There was no significant difference for pain, function, ROM, MCS, and complication rate (p ≤ .05). In conclusion, deltoid ligament repair offers lower syndesmotic malreduction rates and reduced re-operation rates for hardware removal in comparison to trans-syndesmotic screws. Repair groups demonstrated equivalent or better outcomes for pain, function, ROM, MCS, and complication rates. Other newer syndesmotic fixation methods such as suture-button fixation require further evaluation when compared to the outcomes of deltoid ligament repair. A randomized control trial is required to further examine the outcomes of ankle fracture patients who undergo deltoid ligament repair versus trans-syndesmotic screw fixation.Copyright © 2020 the American College of Foot and Ankle Surgeons. Published by Elsevier Inc. All rights reserved.&quot;,&quot;author&quot;:[{&quot;family&quot;:&quot;Wang&quot;,&quot;given&quot;:&quot;Julian&quot;},{&quot;family&quot;:&quot;Stride&quot;,&quot;given&quot;:&quot;Devon&quot;},{&quot;family&quot;:&quot;Horner&quot;,&quot;given&quot;:&quot;Nolan S&quot;},{&quot;family&quot;:&quot;Petrisor&quot;,&quot;given&quot;:&quot;Bradley&quot;},{&quot;family&quot;:&quot;Johal&quot;,&quot;given&quot;:&quot;Herman&quot;},{&quot;family&quot;:&quot;Khan&quot;,&quot;given&quot;:&quot;Moin&quot;},{&quot;family&quot;:&quot;Alolabi&quot;,&quot;given&quot;:&quot;Bashar&quot;}],&quot;issued&quot;:{&quot;date-parts&quot;:[[&quot;2021&quot;]]},&quot;DOI&quot;:&quot;10.1053/j.jfas.2020.02.014&quot;,&quot;PMID&quot;:&quot;33218869&quot;,&quot;citation-label&quot;:&quot;15757907&quot;},{&quot;title&quot;:&quot;Outcome of primary deltoid ligament repair in acute ankle fractures: a meta-analysis of comparative studies.&quot;,&quot;page&quot;:&quot;341-347&quot;,&quot;volume&quot;:&quot;44&quot;,&quot;issue&quot;:&quot;2&quot;,&quot;journalAbbreviation&quot;:&quot;Int. Orthop.&quot;,&quot;id&quot;:&quot;16966498&quot;,&quot;type&quot;:&quot;article-journal&quot;,&quot;container-title&quot;:&quot;International Orthopaedics&quot;,&quot;container-title-short&quot;:&quot;Int. Orthop.&quot;,&quot;abstract&quot;:&quot;PURPOSE: The indications of deltoid ligament repair in ankle injuries with widened medial clear space in the absence of medial malleolus fracture remain controversial. Many authors reported no difference in long-term functional outcomes, while others stated that persistent medial clear space widening and malreduction are higher when deltoid ligaments went without repair. This meta-analysis aims to report the current published evidence about the outcomes of deltoid ligament repair in ankle fractures.METHODS: Several databases were searched through May 2018 for comparative studies. The primary outcome was the medial clear space correction, while secondary outcomes included maintenance of medial clear space reduction, pain scores, functional outcome, and total complications if any. Three comparative studies met the inclusion criteria for the meta-analysis. The analysis included a total of 192 patients, 81 in the deltoid ligament repair group and 111 in the non-repair group.RESULTS: The medial clear space correction and maintenance of the said correction on final follow-up radiographs were superior in the deltoid ligament repair group. Although the pain scores were better in the repair group at the final follow-up, this did not result in a better functional outcome, with similar total complication rates.CONCLUSION: In conclusion, those who had their deltoid ligament repaired had superior early and late radiological correction of the medial clear space, an indicator of the quality of ankle reduction with better pain scores. However, no differences in the functional outcome and complications rate were reported.&quot;,&quot;author&quot;:[{&quot;family&quot;:&quot;Salameh&quot;,&quot;given&quot;:&quot;Motasem&quot;},{&quot;family&quot;:&quot;Alhammoud&quot;,&quot;given&quot;:&quot;Abduljabbar&quot;},{&quot;family&quot;:&quot;Alkhatib&quot;,&quot;given&quot;:&quot;Nedal&quot;},{&quot;family&quot;:&quot;Attia&quot;,&quot;given&quot;:&quot;Ahmed K&quot;},{&quot;family&quot;:&quot;Mekhaimar&quot;,&quot;given&quot;:&quot;Mohamed M&quot;},{&quot;family&quot;:&quot;D'Hooghe&quot;,&quot;given&quot;:&quot;Pieter&quot;},{&quot;family&quot;:&quot;Mahmoud&quot;,&quot;given&quot;:&quot;Karim&quot;}],&quot;issued&quot;:{&quot;date-parts&quot;:[[&quot;2020&quot;,&quot;2&quot;]]},&quot;DOI&quot;:&quot;10.1007/s00264-019-04416-9&quot;,&quot;PMID&quot;:&quot;31776609&quot;,&quot;PMCID&quot;:&quot;PMC6968990&quot;,&quot;citation-label&quot;:&quot;16966498&quot;},{&quot;title&quot;:&quot;Biomechanical effect on joint stability of including deltoid ligament repair in an ankle fracture soft tissue injury model with deltoid and syndesmotic disruption.&quot;,&quot;page&quot;:&quot;1158-1164&quot;,&quot;volume&quot;:&quot;41&quot;,&quot;issue&quot;:&quot;9&quot;,&quot;journalAbbreviation&quot;:&quot;Foot Ankle Int.&quot;,&quot;id&quot;:&quot;11669716&quot;,&quot;type&quot;:&quot;article-journal&quot;,&quot;container-title&quot;:&quot;Foot &amp; Ankle International&quot;,&quot;container-title-short&quot;:&quot;Foot Ankle Int.&quot;,&quot;abstract&quot;:&quot;BACKGROUND: The current operative standard of treatment for bimalleolar equivalent ankle fracture is open reduction and internal fixation (ORIF) of the lateral malleolus followed by syndesmotic stabilization if indicated. There is controversy surrounding the indication and need for deltoid ligament repair in this setting. The purpose of this study was to quantify the biomechanical effect of deltoid ligament repair in an ankle fracture soft tissue injury model.METHODS: Nine fresh-frozen cadaveric specimens were included in this study. Each leg was tested under 5 conditions: intact, syndesmosis and deltoid ligament sectioned, syndesmosis fixed, deltoid repaired, and both the syndesmosis and deltoid ligament repaired. Anterior, posterior, lateral, and medial drawer and rotational stresses were applied to the foot, and the resulting talus displacement was documented.RESULTS: Isolated deltoid repair significantly reduced anterior displacement to normal levels. Displacement with lateral drawer testing was not significantly corrected until both structures were repaired. Deltoid repair and syndesmosis fixation each reduced internal rotation significantly with further reduction to normal levels when both were repaired. External rotation remained elevated relative to the intact condition regardless of which structures were repaired.CONCLUSION: There is existing controversy regarding the importance of deltoid ligament repair in the setting of ankle fractures. The findings of this biomechanical study indicate that deltoid ligament repair enhances ankle stability in ankle fractures with both syndesmotic and deltoid disruption.CLINICAL RELEVANCE: Concomitant deltoid ligament repair in addition to stabilization of fracture and syndesmosis may improve long-term functioning of the ankle joint and clinical outcomes.&quot;,&quot;author&quot;:[{&quot;family&quot;:&quot;Mococain&quot;,&quot;given&quot;:&quot;Pablo&quot;},{&quot;family&quot;:&quot;Bejarano-Pineda&quot;,&quot;given&quot;:&quot;Lorena&quot;},{&quot;family&quot;:&quot;Glisson&quot;,&quot;given&quot;:&quot;Richard&quot;},{&quot;family&quot;:&quot;Kadakia&quot;,&quot;given&quot;:&quot;Rishin J&quot;},{&quot;family&quot;:&quot;Akoh&quot;,&quot;given&quot;:&quot;Craig C&quot;},{&quot;family&quot;:&quot;Chen&quot;,&quot;given&quot;:&quot;Jie&quot;},{&quot;family&quot;:&quot;Nunley&quot;,&quot;given&quot;:&quot;James A&quot;},{&quot;family&quot;:&quot;Easley&quot;,&quot;given&quot;:&quot;Mark E&quot;}],&quot;issued&quot;:{&quot;date-parts&quot;:[[&quot;2020&quot;,&quot;9&quot;]]},&quot;DOI&quot;:&quot;10.1177/1071100720929007&quot;,&quot;PMID&quot;:&quot;32545997&quot;,&quot;citation-label&quot;:&quot;11669716&quot;},{&quot;title&quot;:&quot;Deltoid ligament repair versus trans-syndesmotic fixation for bimalleolar equivalent ankle fractures.&quot;,&quot;page&quot;:&quot;2292-2296&quot;,&quot;volume&quot;:&quot;53&quot;,&quot;issue&quot;:&quot;6&quot;,&quot;journalAbbreviation&quot;:&quot;Injury&quot;,&quot;id&quot;:&quot;17402252&quot;,&quot;type&quot;:&quot;article-journal&quot;,&quot;container-title&quot;:&quot;Injury&quot;,&quot;container-title-short&quot;:&quot;Injury&quot;,&quot;abstract&quot;:&quot;INTRODUCTION: The role of deltoid ligament repair is controversial in the treatment of bimalleolar equivalent ankle injuries. Our purpose was to compare midterm functional outcomes and reoperation rates of unstable distal fibula fractures treated with open reduction internal fixation (ORIF) of the fibula and either deltoid ligament repair, trans-syndesmotic fixation, or combined fixation.METHODS: Skeletally mature subjects were retrospectively identified after fixation of isolated unstable distal fibula fractures treated at a single academic level 1 hospital from January 2005 to May 2019. The AAOS Foot and Ankle Module outcomes questionnaire (AAOS-FAM) was obtained at a mean time from surgery of 4.6 +/- 3.1 years. Subjects underwent one of three methods of fixation including distal fibula ORIF and one of the following: trans-syndesmotic fixation (N = 66), deltoid ligament repair (N = 16), or combined trans-syndesmotic fixation and deltoid ligament repair (N = 26). Outcomes scores and Charlson Comorbidity Index scores were compared between groups by Kruskal-Wallis testing for non-normally distributed data. Rates of reoperation were compared by Fisher's exact test. Statistical significance was set to P &lt;  0.05 for all comparisons.RESULTS: There was no significant difference in AAOS-FAM scores between the three groups (P = 0.18). No subjects in the deltoid ligament repair group underwent reoperation compared to 17 (26%) in the trans-syndesmotic fixation group and six (23%) in the combined fixation group. The most common reason for reoperation was removal of hardware, which was performed in 12 (18%) subjects in the trans-syndesmotic fixation group and three (12%) subjects in the combined fixation group.CONCLUSIONS: Direct deltoid ligament repair yields similar functional scores and fewer reoperations compared to trans-syndesmotic fixation at midterm follow up. Deltoid ligament repair may be a favorable treatment strategy when considering trans-syndesmotic fixation in the surgical treatment of unstable distal fibula fractures.Copyright © 2022 Elsevier Ltd. All rights reserved.&quot;,&quot;author&quot;:[{&quot;family&quot;:&quot;Whitlock&quot;,&quot;given&quot;:&quot;Keith G&quot;},{&quot;family&quot;:&quot;LaRose&quot;,&quot;given&quot;:&quot;Micaela&quot;},{&quot;family&quot;:&quot;Barber&quot;,&quot;given&quot;:&quot;Helena&quot;},{&quot;family&quot;:&quot;Fletcher&quot;,&quot;given&quot;:&quot;Amanda&quot;},{&quot;family&quot;:&quot;Cunningham&quot;,&quot;given&quot;:&quot;Daniel&quot;},{&quot;family&quot;:&quot;Menken&quot;,&quot;given&quot;:&quot;Luke&quot;},{&quot;family&quot;:&quot;Yoon&quot;,&quot;given&quot;:&quot;Richard S&quot;},{&quot;family&quot;:&quot;Gage&quot;,&quot;given&quot;:&quot;Mark J&quot;}],&quot;issued&quot;:{&quot;date-parts&quot;:[[&quot;2022&quot;,&quot;6&quot;]]},&quot;DOI&quot;:&quot;10.1016/j.injury.2022.03.063&quot;,&quot;PMID&quot;:&quot;35437167&quot;,&quot;citation-label&quot;:&quot;17402252&quot;},{&quot;title&quot;:&quot;SPIRIT 2013 statement: defining standard protocol items for clinical trials.&quot;,&quot;page&quot;:&quot;200-207&quot;,&quot;volume&quot;:&quot;158&quot;,&quot;issue&quot;:&quot;3&quot;,&quot;journalAbbreviation&quot;:&quot;Ann. Intern. Med.&quot;,&quot;id&quot;:&quot;594495&quot;,&quot;type&quot;:&quot;article-journal&quot;,&quot;container-title&quot;:&quot;Annals of Internal Medicine&quot;,&quot;container-title-short&quot;:&quot;Ann. Intern. Med.&quot;,&quot;abstract&quot;:&quot;The protocol of a clinical trial serves as the foundation for study planning, conduct, reporting, and appraisal. However, trial protocols and existing protocol guidelines vary greatly in content and quality. This article describes the systematic development and scope of SPIRIT (Standard Protocol Items: Recommendations for Interventional Trials) 2013, a guideline for the minimum content of a clinical trial protocol.The 33-item SPIRIT checklist applies to protocols for all clinical trials and focuses on content rather than format. The checklist recommends a full description of what is planned; it does not prescribe how to design or conduct a trial. By providing guidance for key content, the SPIRIT recommendations aim to facilitate the drafting of high-quality protocols. Adherence to SPIRIT would also enhance the transparency and completeness of trial protocols for the benefit of investigators, trial participants, patients, sponsors, funders, research ethics committees or institutional review boards, peer reviewers, journals, trial registries, policymakers, regulators, and other key stakeholders.&quot;,&quot;author&quot;:[{&quot;family&quot;:&quot;Chan&quot;,&quot;given&quot;:&quot;An-Wen&quot;},{&quot;family&quot;:&quot;Tetzlaff&quot;,&quot;given&quot;:&quot;Jennifer M&quot;},{&quot;family&quot;:&quot;Altman&quot;,&quot;given&quot;:&quot;Douglas G&quot;},{&quot;family&quot;:&quot;Laupacis&quot;,&quot;given&quot;:&quot;Andreas&quot;},{&quot;family&quot;:&quot;Gøtzsche&quot;,&quot;given&quot;:&quot;Peter C&quot;},{&quot;family&quot;:&quot;Krleža-Jerić&quot;,&quot;given&quot;:&quot;Karmela&quot;},{&quot;family&quot;:&quot;Hróbjartsson&quot;,&quot;given&quot;:&quot;Asbjørn&quot;},{&quot;family&quot;:&quot;Mann&quot;,&quot;given&quot;:&quot;Howard&quot;},{&quot;family&quot;:&quot;Dickersin&quot;,&quot;given&quot;:&quot;Kay&quot;},{&quot;family&quot;:&quot;Berlin&quot;,&quot;given&quot;:&quot;Jesse A&quot;},{&quot;family&quot;:&quot;Doré&quot;,&quot;given&quot;:&quot;Caroline J&quot;},{&quot;family&quot;:&quot;Parulekar&quot;,&quot;given&quot;:&quot;Wendy R&quot;},{&quot;family&quot;:&quot;Summerskill&quot;,&quot;given&quot;:&quot;William S M&quot;},{&quot;family&quot;:&quot;Groves&quot;,&quot;given&quot;:&quot;Trish&quot;},{&quot;family&quot;:&quot;Schulz&quot;,&quot;given&quot;:&quot;Kenneth F&quot;},{&quot;family&quot;:&quot;Sox&quot;,&quot;given&quot;:&quot;Harold C&quot;},{&quot;family&quot;:&quot;Rockhold&quot;,&quot;given&quot;:&quot;Frank W&quot;},{&quot;family&quot;:&quot;Rennie&quot;,&quot;given&quot;:&quot;Drummond&quot;},{&quot;family&quot;:&quot;Moher&quot;,&quot;given&quot;:&quot;David&quot;}],&quot;issued&quot;:{&quot;date-parts&quot;:[[&quot;2013&quot;,&quot;2&quot;,&quot;5&quot;]]},&quot;DOI&quot;:&quot;10.7326/0003-4819-158-3-201302050-00583&quot;,&quot;PMID&quot;:&quot;23295957&quot;,&quot;PMCID&quot;:&quot;PMC5114123&quot;,&quot;citation-label&quot;:&quot;594495&quot;},{&quot;title&quot;:&quot;The ligament anatomy of the deltoid complex of the ankle: a qualitative and quantitative anatomical study.&quot;,&quot;page&quot;:&quot;e62&quot;,&quot;volume&quot;:&quot;96&quot;,&quot;issue&quot;:&quot;8&quot;,&quot;journalAbbreviation&quot;:&quot;J. Bone Joint Surg. Am.&quot;,&quot;id&quot;:&quot;508039&quot;,&quot;type&quot;:&quot;article-journal&quot;,&quot;container-title&quot;:&quot;The Journal of Bone and Joint Surgery. American Volume&quot;,&quot;container-title-short&quot;:&quot;J. Bone Joint Surg. Am.&quot;,&quot;abstract&quot;:&quot;BACKGROUND: The deltoid ligament has both superficial and deep layers and consists of up to six ligamentous bands. The prevalence of the individual bands is variable, and no consensus as to which bands are constant or variable exists. Although other studies have looked at the variance in the deltoid anatomy, none have quantified the distance to relevant osseous landmarks.METHODS: The deltoid ligaments from fourteen non-paired, fresh-frozen cadaveric specimens were isolated and the ligamentous bands were identified. The lengths, footprint areas, orientations, and distances from relevant osseous landmarks were measured with a three-dimensional coordinate measurement device.RESULTS: In all specimens, the tibionavicular, tibiospring, and deep posterior tibiotalar ligaments were identified. Three additional bands were variable in our specimen cohort: the tibiocalcaneal, superficial posterior tibiotalar, and deep anterior tibiotalar ligaments. The deep posterior tibiotalar ligament was the largest band of the deltoid ligament. The origins from the distal center of the intercollicular groove were 16.1 mm (95% confidence interval, 14.7 to 17.5 mm) for the tibionavicular ligament, 13.1 mm (95% confidence interval, 11.1 to 15.1 mm) for the tibiospring ligament, and 7.6 mm (95% confidence interval, 6.7 to 8.5 mm) for the deep posterior tibiotalar ligament. Relevant to other pertinent osseous landmarks, the tibionavicular ligament inserted at 9.7 mm (95% confidence interval, 8.4 to 11.0 mm) from the tuberosity of the navicular, the tibiospring inserted at 35% (95% confidence interval, 33.4% to 36.6%) of the spring ligament's posteroanterior distance, and the deep posterior tibiotalar ligament inserted at 17.8 mm (95% confidence interval, 16.3 to 19.3 mm) from the posteromedial talar tubercle.CONCLUSIONS: The tibionavicular, tibiospring, and deep posterior tibiotalar ligament bands were constant components of the deltoid ligament. The deep posterior tibiotalar ligament was the largest band of the deltoid ligament.CLINICAL RELEVANCE: The anatomical data regarding the deltoid ligament bands in this study will help to guide anatomical placement of repairs and reconstructions for deltoid ligament injury or instability.&quot;,&quot;author&quot;:[{&quot;family&quot;:&quot;Campbell&quot;,&quot;given&quot;:&quot;Kevin J&quot;},{&quot;family&quot;:&quot;Michalski&quot;,&quot;given&quot;:&quot;Max P&quot;},{&quot;family&quot;:&quot;Wilson&quot;,&quot;given&quot;:&quot;Katharine J&quot;},{&quot;family&quot;:&quot;Goldsmith&quot;,&quot;given&quot;:&quot;Mary T&quot;},{&quot;family&quot;:&quot;Wijdicks&quot;,&quot;given&quot;:&quot;Coen A&quot;},{&quot;family&quot;:&quot;LaPrade&quot;,&quot;given&quot;:&quot;Robert F&quot;},{&quot;family&quot;:&quot;Clanton&quot;,&quot;given&quot;:&quot;Thomas O&quot;}],&quot;issued&quot;:{&quot;date-parts&quot;:[[&quot;2014&quot;,&quot;4&quot;,&quot;16&quot;]]},&quot;DOI&quot;:&quot;10.2106/JBJS.M.00870&quot;,&quot;PMID&quot;:&quot;24740670&quot;,&quot;citation-label&quot;:&quot;508039&quot;},{&quot;title&quot;:&quot;Surgical treatment of ankle fracture with or without deltoid ligament repair: a comparative study.&quot;,&quot;page&quot;:&quot;543&quot;,&quot;volume&quot;:&quot;18&quot;,&quot;issue&quot;:&quot;1&quot;,&quot;journalAbbreviation&quot;:&quot;BMC Musculoskelet. Disord.&quot;,&quot;id&quot;:&quot;17778579&quot;,&quot;type&quot;:&quot;article-journal&quot;,&quot;container-title&quot;:&quot;BMC Musculoskeletal Disorders&quot;,&quot;container-title-short&quot;:&quot;BMC Musculoskelet. Disord.&quot;,&quot;abstract&quot;:&quot;BACKGROUND: Deltoid ligament (DL) rupture is commonly seen in clinical practice; however the need to explore and surgically repair it is still in debate. The objective of the current study is to compare the outcomes of surgical treatment of ankle fracture with or without DL repair.METHODS: Between 2009 and 2015, Seventy-four ankle fractures with DL rupture were identified and followed. Twenty patients were treated with surgical repair of the DL, while 54 were not. The pre- and post-operative medial clear space (MCS) were measured and the American Orthopaedic Foot and Ankle Society (AOFAS) ankle-hindfoot score and visual analogue scale (VAS) were used for functional evaluation. According to the radiological malreduction of MCS, the odds ratio (OR) and 95% confidence interval (CI) for each potential relative factor were calculated.RESULTS: The mean followup time was 53.7 months. The mean MCS preoperatively, postoperatively, and at last followup time were 8.7 ± 2.4 (range, 6.2-14.8) mm, 3.7 ± 0.9 (range, 2.6-6.4) mm, 3.6 ± 1.0 (range, 2.6-6.8) mm, respectively. The mean AOFAS score was 86.4 ± 8.1 (range, 52-100) points, and the mean VAS was 1.4 ± 1.4 (range, 0-7) points. During followup, 14.9% (11/74) cases were found to be malreduced (MCS&gt;5 mm), and 5.4% (4/74) went on to failure. Surgical repair of DL can significantly decrease the postoperative MCS (P&lt; 0.05), and can also decrease the malreduction rate (P&lt; 0.05). AO/OTA type-C ankle fractures showed a positive correlation with malreduction (OR = 4.38, P = 0.03). In this type of injury, surgical repair of the DL can significantly decrease the malreduction rate (P&lt; 0.05). No significant difference was found between the AO/OTA type-B fracture with or without DL repair.CONCLUSIONS: Surgical repair of the DL is helpful in decreasing the postoperative MCS and malreduction rate, especially for the AO/OTA type-C ankle fractures.&quot;,&quot;author&quot;:[{&quot;family&quot;:&quot;Zhao&quot;,&quot;given&quot;:&quot;Hong-Mou&quot;},{&quot;family&quot;:&quot;Lu&quot;,&quot;given&quot;:&quot;Jun&quot;},{&quot;family&quot;:&quot;Zhang&quot;,&quot;given&quot;:&quot;Feng&quot;},{&quot;family&quot;:&quot;Wen&quot;,&quot;given&quot;:&quot;Xiao-Dong&quot;},{&quot;family&quot;:&quot;Li&quot;,&quot;given&quot;:&quot;Yi&quot;},{&quot;family&quot;:&quot;Hao&quot;,&quot;given&quot;:&quot;Ding-Jun&quot;},{&quot;family&quot;:&quot;Liang&quot;,&quot;given&quot;:&quot;Xiao-Jun&quot;}],&quot;issued&quot;:{&quot;date-parts&quot;:[[&quot;2017&quot;,&quot;12&quot;,&quot;21&quot;]]},&quot;DOI&quot;:&quot;10.1186/s12891-017-1907-4&quot;,&quot;PMID&quot;:&quot;29268724&quot;,&quot;PMCID&quot;:&quot;PMC5740931&quot;,&quot;citation-label&quot;:&quot;17778579&quot;},{&quot;title&quot;:&quot;Comparison of outcome of deltoid ligament repair according to location of suture anchors in rotational ankle fracture.&quot;,&quot;page&quot;:&quot;62-68&quot;,&quot;volume&quot;:&quot;42&quot;,&quot;issue&quot;:&quot;1&quot;,&quot;journalAbbreviation&quot;:&quot;Foot Ankle Int.&quot;,&quot;id&quot;:&quot;16966208&quot;,&quot;type&quot;:&quot;article-journal&quot;,&quot;container-title&quot;:&quot;Foot &amp; Ankle International&quot;,&quot;container-title-short&quot;:&quot;Foot Ankle Int.&quot;,&quot;abstract&quot;:&quot;BACKGROUND: The suture anchors for the repair of deltoid ligament in rotational ankle fracture are inserted mostly into the medial malleolus, but sometimes are placed into the talus depending on the rupture site. This study sought to compare the radiological and clinical outcomes of deltoid ligament repair according to using these 2 locations for suture anchor placement.METHODS: The cases of 131 patients (114 patients with suture anchors on the medial malleolus and 17 patients with suture anchors on the talus) who underwent deltoid ligament repair along with ankle fracture fixation were retrospectively reviewed. Medial clear space oblique (MCSo), medial clear space perpendicular (MCSp), tibiofibular clear space (TFCS), and tibiofibular overlap (TFO) were measured as radiological outcomes, while the Olerud-Molander Ankle Score (OMAS) and visual analog scale (VAS) score for pain were calculated as clinical outcomes. The follow-up period did not differ between the 2 groups (16.8 ± 10.9 months in the medial malleolus group vs 17.9 ± 14.3 months in the talus group; P = .670).RESULTS: There were no differences in MCSo, MCSp, TFCS, and TFO at 3 months after surgery and final follow-up. The OMAS and VAS for pain did not show intergroup differences at final follow-up.CONCLUSION: The surgical outcome of deltoid ligament repair in rotational ankle fracture did not differ whether the suture anchors were inserted into the medial malleolus or into the talus.LEVEL OF EVIDENCE: Level III, retrospective comparative study.&quot;,&quot;author&quot;:[{&quot;family&quot;:&quot;Park&quot;,&quot;given&quot;:&quot;Young Hwan&quot;},{&quot;family&quot;:&quot;Jang&quot;,&quot;given&quot;:&quot;Kyu Sun&quot;},{&quot;family&quot;:&quot;Yeo&quot;,&quot;given&quot;:&quot;Eui Dong&quot;},{&quot;family&quot;:&quot;Choi&quot;,&quot;given&quot;:&quot;Gi Won&quot;},{&quot;family&quot;:&quot;Kim&quot;,&quot;given&quot;:&quot;Hak Jun&quot;}],&quot;issued&quot;:{&quot;date-parts&quot;:[[&quot;2021&quot;,&quot;1&quot;]]},&quot;DOI&quot;:&quot;10.1177/1071100720952053&quot;,&quot;PMID&quot;:&quot;32951566&quot;,&quot;citation-label&quot;:&quot;16966208&quot;},{&quot;title&quot;:&quot;A retrospective study of deltoid ligament repair versus syndesmotic fixation in lateral malleolus fracture combined with both deltoid ligament injury and inferior tibiofibular syndesmotic disruption.&quot;,&quot;page&quot;:&quot;912024&quot;,&quot;volume&quot;:&quot;9&quot;,&quot;journalAbbreviation&quot;:&quot;Front. Surg.&quot;,&quot;id&quot;:&quot;17778589&quot;,&quot;type&quot;:&quot;article-journal&quot;,&quot;container-title&quot;:&quot;Frontiers in surgery&quot;,&quot;container-title-short&quot;:&quot;Front. Surg.&quot;,&quot;abstract&quot;:&quot;BACKGROUND: To compare clinical outcomes of deltoid ligament repair versus syndesmotic fixation in lateral malleolus fracture combined with both deltoid ligament injury and inferior tibiofibular syndesmotic disruption.METHODS: Patients diagnosed with lateral malleolus fracture combined with both deltoid ligament injury and inferior tibiofibular syndesmotic disruption who received open reduction and internal fixation (ORIF) were retrospectively reviewed. Seventy-eight patients were enrolled into the study, including 40 patients treated with lateral malleolus fracture ORIF and trans-syndesmotic fixation, and 38 patients treated with lateral malleolus fracture ORIF and deltoid ligament repair. Basic information and pre- and postoperative radiological materials were reviewed. Visual analog pain scale (VAS) score, Olerud-Molander score, and the American Orthopaedic Foot and Ankle Society (AOFAS) Ankle-Hindfoot Scale were used for evaluating pain control and functional recovery postoperatively at different time points.RESULTS: No complication was reported in both groups. In the trans-syndesmotic fixation group, all patients received syndesmotic screw removal 6-8 weeks postoperatively. The Olerud-Molander score and AOFAS Ankle-Hindfoot Scale in the deltoid ligament repair group were higher than the trans-syndesmotic fixation group 3 months after operation. No statistical difference was found between the two groups in VAS score from 1 to 12 months postoperatively.CONCLUSIONS: Lateral malleolus fracture ORIF and deltoid ligament repair is an effective method for lateral malleolus fracture combined with both deltoid ligament injury and inferior tibiofibular syndesmotic disruption. Compared with trans-syndesmotic fixation, deltoid ligament repair holds the advantage of not needing surgical removal of inferior tibiofibular screws postoperatively.© 2022 Liao, Zhang, Ni and Luo.&quot;,&quot;author&quot;:[{&quot;family&quot;:&quot;Liao&quot;,&quot;given&quot;:&quot;Junyi&quot;},{&quot;family&quot;:&quot;Zhang&quot;,&quot;given&quot;:&quot;Jinsong&quot;},{&quot;family&quot;:&quot;Ni&quot;,&quot;given&quot;:&quot;Weidong&quot;},{&quot;family&quot;:&quot;Luo&quot;,&quot;given&quot;:&quot;Gang&quot;}],&quot;issued&quot;:{&quot;date-parts&quot;:[[&quot;2022&quot;,&quot;10&quot;,&quot;20&quot;]]},&quot;DOI&quot;:&quot;10.3389/fsurg.2022.912024&quot;,&quot;PMID&quot;:&quot;36386501&quot;,&quot;PMCID&quot;:&quot;PMC9645235&quot;,&quot;citation-label&quot;:&quot;17778589&quot;},{&quot;title&quot;:&quot;Efficacy of deltoid ligament reconstruction on the  curative effect, complication and long-term prognosis  in ankle fracture-dislocation with deltoid ligament injury&quot;,&quot;page&quot;:&quot;13778-13783&quot;,&quot;volume&quot;:&quot;2017;10:&quot;,&quot;issue&quot;:&quot;9&quot;,&quot;journalAbbreviation&quot;:&quot;Int J Clin Exp Med&quot;,&quot;id&quot;:&quot;17779599&quot;,&quot;type&quot;:&quot;article-journal&quot;,&quot;container-title&quot;:&quot;International journal of clinical and experimental medicine&quot;,&quot;container-title-short&quot;:&quot;Int J Clin Exp Med&quot;,&quot;author&quot;:[{&quot;family&quot;:&quot;Gu&quot;,&quot;given&quot;:&quot;Guangxue&quot;},{&quot;family&quot;:&quot;Yu&quot;,&quot;given&quot;:&quot;Jiwen&quot;},{&quot;family&quot;:&quot;Huo&quot;,&quot;given&quot;:&quot;Yongfeng&quot;},{&quot;family&quot;:&quot;Xu&quot;,&quot;given&quot;:&quot;Gang&quot;},{&quot;family&quot;:&quot;Yin&quot;,&quot;given&quot;:&quot;Zhaoyang&quot;},{&quot;family&quot;:&quot;Yu&quot;,&quot;given&quot;:&quot;Jian&quot;},{&quot;family&quot;:&quot;Sheng&quot;,&quot;given&quot;:&quot;Luxin&quot;},{&quot;family&quot;:&quot;Li&quot;,&quot;given&quot;:&quot;Leiming&quot;}],&quot;issued&quot;:{&quot;date-parts&quot;:[[&quot;2017&quot;,&quot;9&quot;,&quot;30&quot;]]},&quot;citation-label&quot;:&quot;17779599&quot;},{&quot;title&quot;:&quot;Deltoid ligament repair reduces and stabilizes the talus in unstable ankle fractures.&quot;,&quot;page&quot;:&quot;87-90&quot;,&quot;volume&quot;:&quot;17&quot;,&quot;journalAbbreviation&quot;:&quot;J. Orthop.&quot;,&quot;id&quot;:&quot;16605925&quot;,&quot;type&quot;:&quot;article-journal&quot;,&quot;container-title&quot;:&quot;Journal of orthopaedics&quot;,&quot;container-title-short&quot;:&quot;J. Orthop.&quot;,&quot;abstract&quot;:&quot;INTRODUCTION: Treatment of supination external rotation type IV (SER-IV) ankle injuries has focused on reduction and fixation of the fibula and syndesmosis (ORIF), not repair of the deltoid ligament.METHODS: Twenty-one ankles were analyzed with a motion capture system. Uninjured ankles were stressed and compared to ankles with SER-IV injuries, then with ORIF, and finally ORIF and deltoid repair.RESULTS: After deltoid ligament repair, talar coronal and axial rotation normalized to the uninjured state and were significantly reduced compared to ORIF alone.DISCUSSION: Deltoid ligament repair after an SER-IV ankle injury can help directly reduce and stabilize the tibiotalar joint.© 2019 Professor P K Surendran Memorial Education Foundation. Published by Elsevier B.V. All rights reserved.&quot;,&quot;author&quot;:[{&quot;family&quot;:&quot;Butler&quot;,&quot;given&quot;:&quot;Bennet A&quot;},{&quot;family&quot;:&quot;Hempen&quot;,&quot;given&quot;:&quot;Eric C&quot;},{&quot;family&quot;:&quot;Barbosa&quot;,&quot;given&quot;:&quot;Mauricio&quot;},{&quot;family&quot;:&quot;Muriuki&quot;,&quot;given&quot;:&quot;Muturi&quot;},{&quot;family&quot;:&quot;Havey&quot;,&quot;given&quot;:&quot;Robert M&quot;},{&quot;family&quot;:&quot;Nicolay&quot;,&quot;given&quot;:&quot;Richard W&quot;},{&quot;family&quot;:&quot;Kadakia&quot;,&quot;given&quot;:&quot;Anish R&quot;}],&quot;issued&quot;:{&quot;date-parts&quot;:[[&quot;2020&quot;]]},&quot;DOI&quot;:&quot;10.1016/j.jor.2019.06.005&quot;,&quot;PMID&quot;:&quot;31879481&quot;,&quot;PMCID&quot;:&quot;PMC6919363&quot;,&quot;citation-label&quot;:&quot;16605925&quot;},{&quot;title&quot;:&quot;Deltoid ligament in acute ankle injury: MR imaging analysis.&quot;,&quot;page&quot;:&quot;655-663&quot;,&quot;volume&quot;:&quot;43&quot;,&quot;issue&quot;:&quot;5&quot;,&quot;journalAbbreviation&quot;:&quot;Skeletal Radiol.&quot;,&quot;id&quot;:&quot;6547876&quot;,&quot;type&quot;:&quot;article-journal&quot;,&quot;container-title&quot;:&quot;Skeletal Radiology&quot;,&quot;container-title-short&quot;:&quot;Skeletal Radiol.&quot;,&quot;abstract&quot;:&quot;OBJECTIVE: To identify the pattern of deltoid ligament injury after acute ankle injury and the relationship between ankle fracture and deltoid ligament tear by magnetic resonance imaging (MRI).MATERIALS AND METHODS: Thirty-six patients (32 male, and 4 female; mean age, 29.8 years) with acute deltoid ligament injury who had undergone MRI participated in this study. The deltoid ligament was classified as having 3 superficial and 2 deep components. An image analysis included the integrity and tear site of the deltoid ligament, and other associated injuries. Association between ankle fracture and deltoid ligament tear was assessed using Fisher's exact test (P &lt;  0.05).RESULTS: Of the 36 patients, 21 (58.3 %) had tears in the superficial and deep deltoid ligaments, 6 (16.7 %) in the superficial ligaments only, and 4 (11.1 %) in the deep ligaments only. The most common tear site of the three components of the superficial deltoid and deep anterior tibiotalar ligaments was their proximal attachments (94 % and 91.7 % respectively), and that of the deep posterior tibiotalar ligament (pTTL) was its distal attachment (82.6 %). The common associated injuries were ankle fracture (63.9 %), syndesmosis tear (55.6 %), and lateral collateral ligament complex tear (44.4 %). All the components of the deltoid ligament were frequently torn in patients with ankle fractures (tibionavicular ligament, P = 0.009).CONCLUSION: The observed injury pattern of the deltoid ligament was complex and frequently associated with concomitant ankle pathology. The most common tear site of the superficial deltoid ligament was the medial malleolar attachment, whereas that of the deep pTTL was near its medial talar insertion.&quot;,&quot;author&quot;:[{&quot;family&quot;:&quot;Jeong&quot;,&quot;given&quot;:&quot;Min Sun&quot;},{&quot;family&quot;:&quot;Choi&quot;,&quot;given&quot;:&quot;Yun Sun&quot;},{&quot;family&quot;:&quot;Kim&quot;,&quot;given&quot;:&quot;Yun Jung&quot;},{&quot;family&quot;:&quot;Kim&quot;,&quot;given&quot;:&quot;Jin Su&quot;},{&quot;family&quot;:&quot;Young&quot;,&quot;given&quot;:&quot;Ki Won&quot;},{&quot;family&quot;:&quot;Jung&quot;,&quot;given&quot;:&quot;Yoon Young&quot;}],&quot;issued&quot;:{&quot;date-parts&quot;:[[&quot;2014&quot;,&quot;5&quot;]]},&quot;DOI&quot;:&quot;10.1007/s00256-014-1842-5&quot;,&quot;PMID&quot;:&quot;24599341&quot;,&quot;citation-label&quot;:&quot;6547876&quot;},{&quot;title&quot;:&quot;SPIRIT 2025 statement: updated guideline for protocols of randomised trials.&quot;,&quot;page&quot;:&quot;e081477&quot;,&quot;volume&quot;:&quot;389&quot;,&quot;journalAbbreviation&quot;:&quot;BMJ&quot;,&quot;id&quot;:&quot;18154596&quot;,&quot;type&quot;:&quot;article-journal&quot;,&quot;container-title&quot;:&quot;BMJ (Clinical Research Ed.)&quot;,&quot;container-title-short&quot;:&quot;BMJ&quot;,&quot;abstract&quot;:&quot;IMPORTANCE: The protocol of a randomised trial is the foundation for study planning, conduct, reporting, and external review. However, trial protocols vary in their completeness and often do not address key elements of design and conduct. The SPIRIT (Standard Protocol Items: Recommendations for Interventional Trials) statement was first published in 2013 as guidance to improve the completeness of trial protocols. Periodic updates incorporating the latest evidence and best practices are needed to ensure that the guidance remains relevant to users.OBJECTIVE: To systematically update the SPIRIT recommendations for minimum items to address in the protocol of a randomised trial.DESIGN: We completed a scoping review and developed a project specific database of empirical and theoretical evidence to generate a list of potential changes to the SPIRIT 2013 checklist. The list was enriched with recommendations provided by lead authors of existing SPIRIT/CONSORT (Consolidated Standards of Reporting Trials) extensions (Harms, Outcomes, Non-pharmacological Treatment) and other reporting guidelines (TIDieR). The potential modifications were rated in a three-round Delphi survey followed by a consensus meeting.FINDINGS: Overall, 317 individuals participated in the Delphi consensus process and 30 experts attended the consensus meeting. The process led to the addition of two new protocol items, revision to five items, deletion/merger of five items, and integration of key items from other relevant reporting guidelines. Notable changes include a new open science section, additional emphasis on the assessment of harms and description of interventions and comparators, and a new item on how patients and the public will be involved in trial design, conduct, and reporting. The updated SPIRIT 2025 statement consists of an evidence based checklist of 34 minimum items to address in a trial protocol, along with a diagram illustrating the schedule of enrolment, interventions, and assessments for trial participants. To facilitate implementation, we also developed an expanded version of the SPIRIT 2025 checklist and an accompanying explanation and elaboration document.CONCLUSIONS AND RELEVANCE: Widespread endorsement and adherence to the updated SPIRIT 2025 statement have the potential to enhance the transparency and completeness of trial protocols for the benefit of investigators, trial participants, patients, funders, research ethics committees, journals, trial registries, policymakers, regulators, and other reviewers.© Author(s) (or their employer(s)) 2019. Re-use permitted under CC BY. No commercial re-use. See rights and permissions. Published by BMJ.&quot;,&quot;author&quot;:[{&quot;family&quot;:&quot;Chan&quot;,&quot;given&quot;:&quot;An-Wen&quot;},{&quot;family&quot;:&quot;Boutron&quot;,&quot;given&quot;:&quot;Isabelle&quot;},{&quot;family&quot;:&quot;Hopewell&quot;,&quot;given&quot;:&quot;Sally&quot;},{&quot;family&quot;:&quot;Moher&quot;,&quot;given&quot;:&quot;David&quot;},{&quot;family&quot;:&quot;Schulz&quot;,&quot;given&quot;:&quot;Kenneth F&quot;},{&quot;family&quot;:&quot;Collins&quot;,&quot;given&quot;:&quot;Gary S&quot;},{&quot;family&quot;:&quot;Tunn&quot;,&quot;given&quot;:&quot;Ruth&quot;},{&quot;family&quot;:&quot;Aggarwal&quot;,&quot;given&quot;:&quot;Rakesh&quot;},{&quot;family&quot;:&quot;Berkwits&quot;,&quot;given&quot;:&quot;Michael&quot;},{&quot;family&quot;:&quot;Berlin&quot;,&quot;given&quot;:&quot;Jesse A&quot;},{&quot;family&quot;:&quot;Bhandari&quot;,&quot;given&quot;:&quot;Nita&quot;},{&quot;family&quot;:&quot;Butcher&quot;,&quot;given&quot;:&quot;Nancy J&quot;},{&quot;family&quot;:&quot;Campbell&quot;,&quot;given&quot;:&quot;Marion K&quot;},{&quot;family&quot;:&quot;Chidebe&quot;,&quot;given&quot;:&quot;Runcie C W&quot;},{&quot;family&quot;:&quot;Elbourne&quot;,&quot;given&quot;:&quot;Diana R&quot;},{&quot;family&quot;:&quot;Farmer&quot;,&quot;given&quot;:&quot;Andrew J&quot;},{&quot;family&quot;:&quot;Fergusson&quot;,&quot;given&quot;:&quot;Dean A&quot;},{&quot;family&quot;:&quot;Golub&quot;,&quot;given&quot;:&quot;Robert M&quot;},{&quot;family&quot;:&quot;Goodman&quot;,&quot;given&quot;:&quot;Steven N&quot;},{&quot;family&quot;:&quot;Hoffmann&quot;,&quot;given&quot;:&quot;Tammy C&quot;},{&quot;family&quot;:&quot;Ioannidis&quot;,&quot;given&quot;:&quot;John P A&quot;},{&quot;family&quot;:&quot;Kahan&quot;,&quot;given&quot;:&quot;Brennan C&quot;},{&quot;family&quot;:&quot;Knowles&quot;,&quot;given&quot;:&quot;Rachel L&quot;},{&quot;family&quot;:&quot;Lamb&quot;,&quot;given&quot;:&quot;Sarah E&quot;},{&quot;family&quot;:&quot;Lewis&quot;,&quot;given&quot;:&quot;Steff&quot;},{&quot;family&quot;:&quot;Loder&quot;,&quot;given&quot;:&quot;Elizabeth&quot;},{&quot;family&quot;:&quot;Offringa&quot;,&quot;given&quot;:&quot;Martin&quot;},{&quot;family&quot;:&quot;Ravaud&quot;,&quot;given&quot;:&quot;Philippe&quot;},{&quot;family&quot;:&quot;Richards&quot;,&quot;given&quot;:&quot;Dawn P&quot;},{&quot;family&quot;:&quot;Rockhold&quot;,&quot;given&quot;:&quot;Frank W&quot;},{&quot;family&quot;:&quot;Schriger&quot;,&quot;given&quot;:&quot;David L&quot;},{&quot;family&quot;:&quot;Siegfried&quot;,&quot;given&quot;:&quot;Nandi L&quot;},{&quot;family&quot;:&quot;Staniszewska&quot;,&quot;given&quot;:&quot;Sophie&quot;},{&quot;family&quot;:&quot;Taylor&quot;,&quot;given&quot;:&quot;Rod S&quot;},{&quot;family&quot;:&quot;Thabane&quot;,&quot;given&quot;:&quot;Lehana&quot;},{&quot;family&quot;:&quot;Torgerson&quot;,&quot;given&quot;:&quot;David J&quot;},{&quot;family&quot;:&quot;Vohra&quot;,&quot;given&quot;:&quot;Sunita&quot;},{&quot;family&quot;:&quot;White&quot;,&quot;given&quot;:&quot;Ian R&quot;},{&quot;family&quot;:&quot;Hróbjartsson&quot;,&quot;given&quot;:&quot;Asbjørn&quot;}],&quot;issued&quot;:{&quot;date-parts&quot;:[[&quot;2025&quot;,&quot;4&quot;,&quot;28&quot;]]},&quot;DOI&quot;:&quot;10.1136/bmj-2024-081477&quot;,&quot;PMID&quot;:&quot;40294953&quot;,&quot;citation-label&quot;:&quot;18154596&quot;}]"/>
    <we:property name="sciwheel-selectedStyle" value="{&quot;id&quot;:&quot;american-medical-association-alphabetical&quot;,&quot;name&quot;:&quot;American Medical Association 11th edition (sorted alphabetically) - AMA (11th ed.)&quot;,&quot;bibText&quot;:[{&quot;maxoffset&quot;:3,&quot;entryspacing&quot;:1,&quot;linespacing&quot;:1,&quot;second-field-align&quot;:&quot;flush&quot;,&quot;entry_ids&quot;:[[&quot;0&quot;]],&quot;bibliography_errors&quot;:[],&quot;done&quot;:false,&quot;bibstart&quot;:&quot;&lt;div class=\&quot;csl-bib-body\&quot;&gt;\n&quot;,&quot;bibend&quot;:&quot;&lt;/div&gt;&quot;},[&quot;  &lt;div class=\&quot;csl-entry\&quot;&gt;\n    &lt;div class=\&quot;csl-left-margin\&quot;&gt;1. &lt;/div&gt;&lt;div class=\&quot;csl-right-inline\&quot;&gt;Accadia T, Acernese F, Alshourbagy M, et al. Virgo: a laser interferometer to detect gravitational waves. &lt;i&gt;J Instrum&lt;/i&gt;. 2012;7(03):P03012-P03012. doi:10.1088/1748-0221/7/03/P03012&lt;/div&gt;\n  &lt;/div&gt;\n&quot;]],&quot;citationText&quot;:&quot;&lt;sup&gt;1&lt;/sup&gt;&quot;}"/>
    <we:property name="sciwheel-styles" value="[{&quot;id&quot;:&quot;american-medical-association&quot;,&quot;name&quot;:&quot;AMA (American Medical Association)&quot;},{&quot;id&quot;:&quot;american-medical-association-alphabetical&quot;,&quot;name&quot;:&quot;American Medical Association 11th edition (sorted alphabetically) - AMA (11th ed.)&quot;,&quot;bibText&quot;:[{&quot;maxoffset&quot;:3,&quot;entryspacing&quot;:1,&quot;linespacing&quot;:1,&quot;second-field-align&quot;:&quot;flush&quot;,&quot;entry_ids&quot;:[[&quot;0&quot;]],&quot;bibliography_errors&quot;:[],&quot;done&quot;:false,&quot;bibstart&quot;:&quot;&lt;div class=\&quot;csl-bib-body\&quot;&gt;\n&quot;,&quot;bibend&quot;:&quot;&lt;/div&gt;&quot;},[&quot;  &lt;div class=\&quot;csl-entry\&quot;&gt;\n    &lt;div class=\&quot;csl-left-margin\&quot;&gt;1. &lt;/div&gt;&lt;div class=\&quot;csl-right-inline\&quot;&gt;Accadia T, Acernese F, Alshourbagy M, et al. Virgo: a laser interferometer to detect gravitational waves. &lt;i&gt;J Instrum&lt;/i&gt;. 2012;7(03):P03012-P03012. doi:10.1088/1748-0221/7/03/P03012&lt;/div&gt;\n  &lt;/div&gt;\n&quot;]],&quot;citationText&quot;:&quot;&lt;sup&gt;1&lt;/sup&gt;&quot;},{&quot;id&quot;:&quot;apa 7th&quot;,&quot;name&quot;:&quot;APA (American Psychological Association) 7th Edition&quot;},{&quot;id&quot;:&quot;cell&quot;,&quot;name&quot;:&quot;Cell&quot;},{&quot;id&quot;:&quot;chicago-17th-edition&quot;,&quot;name&quot;:&quot;Chicago 17th Edition (author-date)&quot;},{&quot;id&quot;:&quot;cite-them-right-11th-edition-harvard&quot;,&quot;name&quot;:&quot;Cite Them Right 11th Edition - Harvard&quot;},{&quot;id&quot;:&quot;ieee&quot;,&quot;name&quot;:&quot;IEEE&quot;},{&quot;id&quot;:&quot;modern-language-association&quot;,&quot;name&quot;:&quot;MLA (Modern Language Association)&quot;},{&quot;id&quot;:&quot;national-library-of-medicine-grant-proposals&quot;,&quot;name&quot;:&quot;National Library of Medicine (Grant proposals with PMCID/PMID)&quot;},{&quot;id&quot;:&quot;nature&quot;,&quot;name&quot;:&quot;Nature&quot;},{&quot;id&quot;:&quot;science&quot;,&quot;name&quot;:&quot;Science&quot;},{&quot;id&quot;:&quot;vancouver&quot;,&quot;name&quot;:&quot;Vancouver&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8162A-E2F3-4C9F-ADE9-FF4B97CE6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21</Pages>
  <Words>7356</Words>
  <Characters>38989</Characters>
  <Application>Microsoft Office Word</Application>
  <DocSecurity>0</DocSecurity>
  <Lines>324</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ESTEN HAANÆS</dc:creator>
  <cp:keywords/>
  <dc:description/>
  <cp:lastModifiedBy>ESTEN HAANÆS</cp:lastModifiedBy>
  <cp:revision>4</cp:revision>
  <cp:lastPrinted>2025-07-30T07:27:00Z</cp:lastPrinted>
  <dcterms:created xsi:type="dcterms:W3CDTF">2025-10-03T11:04:00Z</dcterms:created>
  <dcterms:modified xsi:type="dcterms:W3CDTF">2025-10-03T11:24:00Z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68bb2f47,2f0d0447,1dafc3</vt:lpwstr>
  </property>
  <property fmtid="{D5CDD505-2E9C-101B-9397-08002B2CF9AE}" pid="3" name="ClassificationContentMarkingFooterFontProps">
    <vt:lpwstr>#000000,10,Calibri</vt:lpwstr>
  </property>
  <property fmtid="{D5CDD505-2E9C-101B-9397-08002B2CF9AE}" pid="4" name="ClassificationContentMarkingFooterText">
    <vt:lpwstr>Følsomhet Intern (gul)</vt:lpwstr>
  </property>
  <property fmtid="{D5CDD505-2E9C-101B-9397-08002B2CF9AE}" pid="5" name="MSIP_Label_0c3ffc1c-ef00-4620-9c2f-7d9c1597774b_Enabled">
    <vt:lpwstr>true</vt:lpwstr>
  </property>
  <property fmtid="{D5CDD505-2E9C-101B-9397-08002B2CF9AE}" pid="6" name="MSIP_Label_0c3ffc1c-ef00-4620-9c2f-7d9c1597774b_SetDate">
    <vt:lpwstr>2024-09-27T12:03:34Z</vt:lpwstr>
  </property>
  <property fmtid="{D5CDD505-2E9C-101B-9397-08002B2CF9AE}" pid="7" name="MSIP_Label_0c3ffc1c-ef00-4620-9c2f-7d9c1597774b_Method">
    <vt:lpwstr>Standard</vt:lpwstr>
  </property>
  <property fmtid="{D5CDD505-2E9C-101B-9397-08002B2CF9AE}" pid="8" name="MSIP_Label_0c3ffc1c-ef00-4620-9c2f-7d9c1597774b_Name">
    <vt:lpwstr>Intern</vt:lpwstr>
  </property>
  <property fmtid="{D5CDD505-2E9C-101B-9397-08002B2CF9AE}" pid="9" name="MSIP_Label_0c3ffc1c-ef00-4620-9c2f-7d9c1597774b_SiteId">
    <vt:lpwstr>bdcbe535-f3cf-49f5-8a6a-fb6d98dc7837</vt:lpwstr>
  </property>
  <property fmtid="{D5CDD505-2E9C-101B-9397-08002B2CF9AE}" pid="10" name="MSIP_Label_0c3ffc1c-ef00-4620-9c2f-7d9c1597774b_ActionId">
    <vt:lpwstr>c76bf4aa-4a74-4e0c-b33d-fab7c9eb06c1</vt:lpwstr>
  </property>
  <property fmtid="{D5CDD505-2E9C-101B-9397-08002B2CF9AE}" pid="11" name="MSIP_Label_0c3ffc1c-ef00-4620-9c2f-7d9c1597774b_ContentBits">
    <vt:lpwstr>2</vt:lpwstr>
  </property>
</Properties>
</file>